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4512" w14:textId="6E3165A9" w:rsidR="003B004B" w:rsidRPr="00AB089B" w:rsidRDefault="00F305EC">
      <w:pPr>
        <w:rPr>
          <w:lang w:val="nl-NL"/>
        </w:rPr>
      </w:pPr>
      <w:r w:rsidRPr="00AB089B">
        <w:rPr>
          <w:b/>
          <w:bCs/>
          <w:lang w:val="nl-NL"/>
        </w:rPr>
        <w:t xml:space="preserve">Handleiding bij </w:t>
      </w:r>
      <w:r w:rsidR="0005530E" w:rsidRPr="00AB089B">
        <w:rPr>
          <w:b/>
          <w:bCs/>
          <w:lang w:val="nl-NL"/>
        </w:rPr>
        <w:t>“</w:t>
      </w:r>
      <w:r w:rsidRPr="00AB089B">
        <w:rPr>
          <w:b/>
          <w:bCs/>
          <w:lang w:val="nl-NL"/>
        </w:rPr>
        <w:t>TCO</w:t>
      </w:r>
      <w:r w:rsidR="002D571E" w:rsidRPr="00AB089B">
        <w:rPr>
          <w:b/>
          <w:bCs/>
          <w:lang w:val="nl-NL"/>
        </w:rPr>
        <w:t>-</w:t>
      </w:r>
      <w:r w:rsidR="009C045D">
        <w:rPr>
          <w:b/>
          <w:bCs/>
          <w:lang w:val="nl-NL"/>
        </w:rPr>
        <w:t>Touringcar</w:t>
      </w:r>
      <w:r w:rsidR="0005530E" w:rsidRPr="00AB089B">
        <w:rPr>
          <w:b/>
          <w:bCs/>
          <w:lang w:val="nl-NL"/>
        </w:rPr>
        <w:t>”</w:t>
      </w:r>
      <w:r w:rsidR="00AB089B" w:rsidRPr="00AB089B">
        <w:rPr>
          <w:b/>
          <w:bCs/>
          <w:lang w:val="nl-NL"/>
        </w:rPr>
        <w:t xml:space="preserve"> (versie</w:t>
      </w:r>
      <w:r w:rsidR="0016610D">
        <w:rPr>
          <w:b/>
          <w:bCs/>
          <w:lang w:val="nl-NL"/>
        </w:rPr>
        <w:t xml:space="preserve"> </w:t>
      </w:r>
      <w:r w:rsidR="00FB6717">
        <w:rPr>
          <w:b/>
          <w:bCs/>
          <w:lang w:val="nl-NL"/>
        </w:rPr>
        <w:t>1.</w:t>
      </w:r>
      <w:r w:rsidR="009C045D">
        <w:rPr>
          <w:b/>
          <w:bCs/>
          <w:lang w:val="nl-NL"/>
        </w:rPr>
        <w:t>0</w:t>
      </w:r>
      <w:r w:rsidR="0016610D">
        <w:rPr>
          <w:b/>
          <w:bCs/>
          <w:lang w:val="nl-NL"/>
        </w:rPr>
        <w:t>;</w:t>
      </w:r>
      <w:r w:rsidR="00AB089B" w:rsidRPr="00AB089B">
        <w:rPr>
          <w:b/>
          <w:bCs/>
          <w:lang w:val="nl-NL"/>
        </w:rPr>
        <w:t xml:space="preserve"> </w:t>
      </w:r>
      <w:r w:rsidR="009C045D">
        <w:rPr>
          <w:b/>
          <w:bCs/>
          <w:lang w:val="nl-NL"/>
        </w:rPr>
        <w:t>05</w:t>
      </w:r>
      <w:r w:rsidR="008845CA">
        <w:rPr>
          <w:b/>
          <w:bCs/>
          <w:lang w:val="nl-NL"/>
        </w:rPr>
        <w:t>-</w:t>
      </w:r>
      <w:r w:rsidR="009C045D">
        <w:rPr>
          <w:b/>
          <w:bCs/>
          <w:lang w:val="nl-NL"/>
        </w:rPr>
        <w:t>04</w:t>
      </w:r>
      <w:r w:rsidR="00AB089B" w:rsidRPr="00AB089B">
        <w:rPr>
          <w:b/>
          <w:bCs/>
          <w:lang w:val="nl-NL"/>
        </w:rPr>
        <w:t>-202</w:t>
      </w:r>
      <w:r w:rsidR="009C045D">
        <w:rPr>
          <w:b/>
          <w:bCs/>
          <w:lang w:val="nl-NL"/>
        </w:rPr>
        <w:t>3</w:t>
      </w:r>
      <w:r w:rsidR="00AB089B" w:rsidRPr="00AB089B">
        <w:rPr>
          <w:b/>
          <w:bCs/>
          <w:lang w:val="nl-NL"/>
        </w:rPr>
        <w:t>)</w:t>
      </w:r>
    </w:p>
    <w:p w14:paraId="29F4A77F" w14:textId="77777777" w:rsidR="00F305EC" w:rsidRPr="00AB089B" w:rsidRDefault="00F305EC">
      <w:pPr>
        <w:rPr>
          <w:lang w:val="nl-NL"/>
        </w:rPr>
      </w:pPr>
    </w:p>
    <w:p w14:paraId="3D4B4276" w14:textId="2D5A5A29" w:rsidR="009031BB" w:rsidRPr="00AB089B" w:rsidRDefault="003850BE">
      <w:pPr>
        <w:rPr>
          <w:b/>
          <w:u w:val="single"/>
          <w:lang w:val="nl-NL"/>
        </w:rPr>
      </w:pPr>
      <w:r>
        <w:rPr>
          <w:b/>
          <w:u w:val="single"/>
          <w:lang w:val="nl-NL"/>
        </w:rPr>
        <w:t>Voordat u begint</w:t>
      </w:r>
    </w:p>
    <w:p w14:paraId="79E5322C" w14:textId="1D0069F6" w:rsidR="00AF5466" w:rsidRDefault="003850BE">
      <w:pPr>
        <w:rPr>
          <w:lang w:val="nl-NL"/>
        </w:rPr>
      </w:pPr>
      <w:r>
        <w:rPr>
          <w:lang w:val="nl-NL"/>
        </w:rPr>
        <w:t xml:space="preserve">Het TCO-model is in opdracht van </w:t>
      </w:r>
      <w:r w:rsidR="009C045D">
        <w:rPr>
          <w:lang w:val="nl-NL"/>
        </w:rPr>
        <w:t>het ministerie van Infrastructuur &amp; Waterstaat</w:t>
      </w:r>
      <w:r>
        <w:rPr>
          <w:lang w:val="nl-NL"/>
        </w:rPr>
        <w:t xml:space="preserve"> door Panteia </w:t>
      </w:r>
      <w:r w:rsidR="009C045D">
        <w:rPr>
          <w:lang w:val="nl-NL"/>
        </w:rPr>
        <w:t>ontwikkeld</w:t>
      </w:r>
      <w:r>
        <w:rPr>
          <w:lang w:val="nl-NL"/>
        </w:rPr>
        <w:t xml:space="preserve">. Bij de ontwikkeling van het TCO-model is gekozen voor een open en transparante opzet.  </w:t>
      </w:r>
      <w:r w:rsidR="00AF5466">
        <w:rPr>
          <w:lang w:val="nl-NL"/>
        </w:rPr>
        <w:t xml:space="preserve">Dit betekent dat helder is welke rekenregels zijn toegepast en welke </w:t>
      </w:r>
      <w:proofErr w:type="spellStart"/>
      <w:r w:rsidR="00AF5466">
        <w:rPr>
          <w:lang w:val="nl-NL"/>
        </w:rPr>
        <w:t>defaultdata</w:t>
      </w:r>
      <w:proofErr w:type="spellEnd"/>
      <w:r w:rsidR="005364C8" w:rsidRPr="005364C8">
        <w:rPr>
          <w:lang w:val="nl-NL"/>
        </w:rPr>
        <w:t xml:space="preserve"> </w:t>
      </w:r>
      <w:r w:rsidR="005364C8">
        <w:rPr>
          <w:lang w:val="nl-NL"/>
        </w:rPr>
        <w:t xml:space="preserve">als uitgangswaarde </w:t>
      </w:r>
      <w:r w:rsidR="00BA0219">
        <w:rPr>
          <w:lang w:val="nl-NL"/>
        </w:rPr>
        <w:t>zijn</w:t>
      </w:r>
      <w:r w:rsidR="00AF5466">
        <w:rPr>
          <w:lang w:val="nl-NL"/>
        </w:rPr>
        <w:t xml:space="preserve"> gehanteerd.</w:t>
      </w:r>
      <w:r w:rsidR="002B4470">
        <w:rPr>
          <w:lang w:val="nl-NL"/>
        </w:rPr>
        <w:t xml:space="preserve"> </w:t>
      </w:r>
      <w:r w:rsidR="005364C8">
        <w:rPr>
          <w:lang w:val="nl-NL"/>
        </w:rPr>
        <w:t xml:space="preserve">Het TCO-model wordt mede onderschreven door </w:t>
      </w:r>
      <w:r w:rsidR="009C045D">
        <w:rPr>
          <w:lang w:val="nl-NL"/>
        </w:rPr>
        <w:t>KNV</w:t>
      </w:r>
      <w:r w:rsidR="005364C8">
        <w:rPr>
          <w:lang w:val="nl-NL"/>
        </w:rPr>
        <w:t>.</w:t>
      </w:r>
    </w:p>
    <w:p w14:paraId="238C0054" w14:textId="73AA652E" w:rsidR="005364C8" w:rsidRPr="00AB089B" w:rsidRDefault="005364C8">
      <w:pPr>
        <w:rPr>
          <w:lang w:val="nl-NL"/>
        </w:rPr>
      </w:pPr>
    </w:p>
    <w:p w14:paraId="19EFEE1C" w14:textId="72D5D100" w:rsidR="0035115D" w:rsidRDefault="00AF5466">
      <w:pPr>
        <w:rPr>
          <w:lang w:val="nl-NL"/>
        </w:rPr>
      </w:pPr>
      <w:r w:rsidRPr="00AB089B">
        <w:rPr>
          <w:lang w:val="nl-NL"/>
        </w:rPr>
        <w:t>Deze handleiding geeft een toelichting op de keuzes bij het invullen van dit TCO</w:t>
      </w:r>
      <w:r w:rsidR="009C045D">
        <w:rPr>
          <w:lang w:val="nl-NL"/>
        </w:rPr>
        <w:t>-</w:t>
      </w:r>
      <w:r w:rsidRPr="00AB089B">
        <w:rPr>
          <w:lang w:val="nl-NL"/>
        </w:rPr>
        <w:t>model</w:t>
      </w:r>
      <w:r>
        <w:rPr>
          <w:lang w:val="nl-NL"/>
        </w:rPr>
        <w:t>.</w:t>
      </w:r>
      <w:r w:rsidR="009C045D">
        <w:rPr>
          <w:lang w:val="nl-NL"/>
        </w:rPr>
        <w:t xml:space="preserve"> De Input-Output Module is het belangrijkste tabblad.</w:t>
      </w:r>
      <w:r w:rsidRPr="00AB089B">
        <w:rPr>
          <w:lang w:val="nl-NL"/>
        </w:rPr>
        <w:t xml:space="preserve"> </w:t>
      </w:r>
      <w:r w:rsidR="009C045D">
        <w:rPr>
          <w:lang w:val="nl-NL"/>
        </w:rPr>
        <w:t xml:space="preserve">Hier worden </w:t>
      </w:r>
      <w:r w:rsidR="0035115D" w:rsidRPr="00AB089B">
        <w:rPr>
          <w:lang w:val="nl-NL"/>
        </w:rPr>
        <w:t xml:space="preserve">de </w:t>
      </w:r>
      <w:r w:rsidR="006E467E" w:rsidRPr="00AB089B">
        <w:rPr>
          <w:lang w:val="nl-NL"/>
        </w:rPr>
        <w:t xml:space="preserve">totale </w:t>
      </w:r>
      <w:r w:rsidR="0035115D" w:rsidRPr="00AB089B">
        <w:rPr>
          <w:lang w:val="nl-NL"/>
        </w:rPr>
        <w:t xml:space="preserve">voertuigkosten (TCO) met </w:t>
      </w:r>
      <w:r w:rsidR="0035115D" w:rsidRPr="00AB089B">
        <w:rPr>
          <w:u w:val="single"/>
          <w:lang w:val="nl-NL"/>
        </w:rPr>
        <w:t>alle</w:t>
      </w:r>
      <w:r w:rsidR="0035115D" w:rsidRPr="00AB089B">
        <w:rPr>
          <w:lang w:val="nl-NL"/>
        </w:rPr>
        <w:t xml:space="preserve"> daarbij behorende kosten voor </w:t>
      </w:r>
      <w:r w:rsidR="009C045D">
        <w:rPr>
          <w:lang w:val="nl-NL"/>
        </w:rPr>
        <w:t>de touringcar</w:t>
      </w:r>
      <w:r w:rsidR="0035115D" w:rsidRPr="00AB089B">
        <w:rPr>
          <w:lang w:val="nl-NL"/>
        </w:rPr>
        <w:t xml:space="preserve">vervoerders </w:t>
      </w:r>
      <w:r w:rsidR="009C045D">
        <w:rPr>
          <w:lang w:val="nl-NL"/>
        </w:rPr>
        <w:t>inclusief cha</w:t>
      </w:r>
      <w:r w:rsidR="006E467E" w:rsidRPr="00AB089B">
        <w:rPr>
          <w:lang w:val="nl-NL"/>
        </w:rPr>
        <w:t>uffeur en overhead</w:t>
      </w:r>
      <w:r w:rsidR="009C045D">
        <w:rPr>
          <w:lang w:val="nl-NL"/>
        </w:rPr>
        <w:t xml:space="preserve"> berekend</w:t>
      </w:r>
      <w:r w:rsidR="0035115D" w:rsidRPr="00AB089B">
        <w:rPr>
          <w:lang w:val="nl-NL"/>
        </w:rPr>
        <w:t xml:space="preserve">. </w:t>
      </w:r>
      <w:proofErr w:type="gramStart"/>
      <w:r w:rsidR="009C045D">
        <w:rPr>
          <w:lang w:val="nl-NL"/>
        </w:rPr>
        <w:t>Tevens</w:t>
      </w:r>
      <w:proofErr w:type="gramEnd"/>
      <w:r w:rsidR="009C045D">
        <w:rPr>
          <w:lang w:val="nl-NL"/>
        </w:rPr>
        <w:t xml:space="preserve"> zijn op dit tabblad </w:t>
      </w:r>
      <w:r w:rsidR="0035115D" w:rsidRPr="00AB089B">
        <w:rPr>
          <w:lang w:val="nl-NL"/>
        </w:rPr>
        <w:t xml:space="preserve">de </w:t>
      </w:r>
      <w:r w:rsidR="00D26547">
        <w:rPr>
          <w:lang w:val="nl-NL"/>
        </w:rPr>
        <w:t xml:space="preserve">(eventueel gestapelde) </w:t>
      </w:r>
      <w:r w:rsidR="0035115D" w:rsidRPr="00AB089B">
        <w:rPr>
          <w:lang w:val="nl-NL"/>
        </w:rPr>
        <w:t xml:space="preserve">invloed van subsidies en heffingen op de TCO </w:t>
      </w:r>
      <w:r w:rsidR="00C87F0C" w:rsidRPr="00AB089B">
        <w:rPr>
          <w:lang w:val="nl-NL"/>
        </w:rPr>
        <w:t xml:space="preserve">direct inzichtelijk </w:t>
      </w:r>
      <w:r w:rsidR="009C045D">
        <w:rPr>
          <w:lang w:val="nl-NL"/>
        </w:rPr>
        <w:t>te maken</w:t>
      </w:r>
      <w:r w:rsidR="0035115D" w:rsidRPr="00AB089B">
        <w:rPr>
          <w:lang w:val="nl-NL"/>
        </w:rPr>
        <w:t>.</w:t>
      </w:r>
    </w:p>
    <w:p w14:paraId="015D0827" w14:textId="4F71B749" w:rsidR="00A82509" w:rsidRPr="00AB089B" w:rsidRDefault="003850BE">
      <w:pPr>
        <w:rPr>
          <w:lang w:val="nl-NL"/>
        </w:rPr>
      </w:pPr>
      <w:r>
        <w:rPr>
          <w:lang w:val="nl-NL"/>
        </w:rPr>
        <w:t>Overige aandachtspunten zijn:</w:t>
      </w:r>
    </w:p>
    <w:p w14:paraId="3AAAA081" w14:textId="5893D9E5" w:rsidR="00E36797" w:rsidRPr="003850BE" w:rsidRDefault="009031BB" w:rsidP="005364C8">
      <w:pPr>
        <w:pStyle w:val="ListParagraph"/>
        <w:numPr>
          <w:ilvl w:val="0"/>
          <w:numId w:val="4"/>
        </w:numPr>
        <w:rPr>
          <w:lang w:val="nl-NL"/>
        </w:rPr>
      </w:pPr>
      <w:r w:rsidRPr="003850BE">
        <w:rPr>
          <w:lang w:val="nl-NL"/>
        </w:rPr>
        <w:t>In TCO-</w:t>
      </w:r>
      <w:r w:rsidR="00352057">
        <w:rPr>
          <w:lang w:val="nl-NL"/>
        </w:rPr>
        <w:t>Touringcar</w:t>
      </w:r>
      <w:r w:rsidRPr="003850BE">
        <w:rPr>
          <w:lang w:val="nl-NL"/>
        </w:rPr>
        <w:t xml:space="preserve"> zijn d</w:t>
      </w:r>
      <w:r w:rsidR="00E36797" w:rsidRPr="003850BE">
        <w:rPr>
          <w:lang w:val="nl-NL"/>
        </w:rPr>
        <w:t xml:space="preserve">e </w:t>
      </w:r>
      <w:r w:rsidR="00352057" w:rsidRPr="00352057">
        <w:rPr>
          <w:color w:val="4472C4" w:themeColor="accent1"/>
          <w:lang w:val="nl-NL"/>
        </w:rPr>
        <w:t xml:space="preserve">blauwe </w:t>
      </w:r>
      <w:r w:rsidR="00E36797" w:rsidRPr="00352057">
        <w:rPr>
          <w:color w:val="4472C4" w:themeColor="accent1"/>
          <w:lang w:val="nl-NL"/>
        </w:rPr>
        <w:t xml:space="preserve">velden </w:t>
      </w:r>
      <w:r w:rsidR="00E36797" w:rsidRPr="003850BE">
        <w:rPr>
          <w:lang w:val="nl-NL"/>
        </w:rPr>
        <w:t xml:space="preserve">inputvelden, de </w:t>
      </w:r>
      <w:r w:rsidR="00352057" w:rsidRPr="00352057">
        <w:rPr>
          <w:color w:val="808080" w:themeColor="background1" w:themeShade="80"/>
          <w:lang w:val="nl-NL"/>
        </w:rPr>
        <w:t xml:space="preserve">grijze </w:t>
      </w:r>
      <w:r w:rsidR="00352057">
        <w:rPr>
          <w:lang w:val="nl-NL"/>
        </w:rPr>
        <w:t xml:space="preserve">en </w:t>
      </w:r>
      <w:r w:rsidR="00352057" w:rsidRPr="00352057">
        <w:rPr>
          <w:color w:val="ED7D31" w:themeColor="accent2"/>
          <w:lang w:val="nl-NL"/>
        </w:rPr>
        <w:t xml:space="preserve">oranje </w:t>
      </w:r>
      <w:r w:rsidR="00E36797" w:rsidRPr="00352057">
        <w:rPr>
          <w:color w:val="ED7D31" w:themeColor="accent2"/>
          <w:lang w:val="nl-NL"/>
        </w:rPr>
        <w:t xml:space="preserve">velden </w:t>
      </w:r>
      <w:r w:rsidR="00E36797" w:rsidRPr="003850BE">
        <w:rPr>
          <w:lang w:val="nl-NL"/>
        </w:rPr>
        <w:t>zijn (niet veranderbare) outputvelden.</w:t>
      </w:r>
    </w:p>
    <w:p w14:paraId="6BB1427C" w14:textId="77777777" w:rsidR="00D26547" w:rsidRPr="003850BE" w:rsidRDefault="009031BB" w:rsidP="005364C8">
      <w:pPr>
        <w:pStyle w:val="ListParagraph"/>
        <w:numPr>
          <w:ilvl w:val="0"/>
          <w:numId w:val="4"/>
        </w:numPr>
        <w:rPr>
          <w:lang w:val="nl-NL"/>
        </w:rPr>
      </w:pPr>
      <w:r w:rsidRPr="003850BE">
        <w:rPr>
          <w:lang w:val="nl-NL"/>
        </w:rPr>
        <w:t xml:space="preserve">Na </w:t>
      </w:r>
      <w:proofErr w:type="spellStart"/>
      <w:r w:rsidRPr="003850BE">
        <w:rPr>
          <w:lang w:val="nl-NL"/>
        </w:rPr>
        <w:t>ingave</w:t>
      </w:r>
      <w:proofErr w:type="spellEnd"/>
      <w:r w:rsidRPr="003850BE">
        <w:rPr>
          <w:lang w:val="nl-NL"/>
        </w:rPr>
        <w:t xml:space="preserve"> van nieuwe cijfers worden de berekeningen direct uitgevoerd. </w:t>
      </w:r>
    </w:p>
    <w:p w14:paraId="1087B6E9" w14:textId="77777777" w:rsidR="005364C8" w:rsidRDefault="009031BB" w:rsidP="005364C8">
      <w:pPr>
        <w:pStyle w:val="ListParagraph"/>
        <w:numPr>
          <w:ilvl w:val="0"/>
          <w:numId w:val="4"/>
        </w:numPr>
        <w:rPr>
          <w:lang w:val="nl-NL"/>
        </w:rPr>
      </w:pPr>
      <w:r w:rsidRPr="003850BE">
        <w:rPr>
          <w:lang w:val="nl-NL"/>
        </w:rPr>
        <w:t>Als de oorspronkelijke gegevens bewaard moeten blijven dan dient u bij het afsluiten van Excel het bestand een nieuwe naam te geven.</w:t>
      </w:r>
      <w:r w:rsidR="00D26547" w:rsidRPr="003850BE">
        <w:rPr>
          <w:lang w:val="nl-NL"/>
        </w:rPr>
        <w:t xml:space="preserve"> </w:t>
      </w:r>
    </w:p>
    <w:p w14:paraId="08F72944" w14:textId="2062F3EA" w:rsidR="009031BB" w:rsidRPr="005364C8" w:rsidRDefault="00D26547" w:rsidP="005364C8">
      <w:pPr>
        <w:pStyle w:val="ListParagraph"/>
        <w:numPr>
          <w:ilvl w:val="0"/>
          <w:numId w:val="4"/>
        </w:numPr>
        <w:rPr>
          <w:lang w:val="nl-NL"/>
        </w:rPr>
      </w:pPr>
      <w:r w:rsidRPr="005364C8">
        <w:rPr>
          <w:lang w:val="nl-NL"/>
        </w:rPr>
        <w:t>Teruggaan naar de cijfers van de beginsituatie kan door het aanklikken van het veld: “</w:t>
      </w:r>
      <w:r w:rsidR="00352057">
        <w:rPr>
          <w:lang w:val="nl-NL"/>
        </w:rPr>
        <w:t>Herstel invoervelden</w:t>
      </w:r>
      <w:r w:rsidRPr="005364C8">
        <w:rPr>
          <w:lang w:val="nl-NL"/>
        </w:rPr>
        <w:t>”.</w:t>
      </w:r>
    </w:p>
    <w:p w14:paraId="262EF5E2" w14:textId="77777777" w:rsidR="00E36797" w:rsidRPr="00AB089B" w:rsidRDefault="00E36797">
      <w:pPr>
        <w:rPr>
          <w:lang w:val="nl-NL"/>
        </w:rPr>
      </w:pPr>
    </w:p>
    <w:p w14:paraId="729BA95A" w14:textId="485BB5DF" w:rsidR="00E36797" w:rsidRPr="00AB089B" w:rsidRDefault="00E36797">
      <w:pPr>
        <w:rPr>
          <w:b/>
          <w:u w:val="single"/>
          <w:lang w:val="nl-NL"/>
        </w:rPr>
      </w:pPr>
      <w:proofErr w:type="spellStart"/>
      <w:r w:rsidRPr="00AB089B">
        <w:rPr>
          <w:b/>
          <w:u w:val="single"/>
          <w:lang w:val="nl-NL"/>
        </w:rPr>
        <w:t>Defaultwaarden</w:t>
      </w:r>
      <w:proofErr w:type="spellEnd"/>
    </w:p>
    <w:p w14:paraId="4C774F25" w14:textId="5218CFB3" w:rsidR="00E36797" w:rsidRPr="00AB089B" w:rsidRDefault="00E36797">
      <w:pPr>
        <w:rPr>
          <w:lang w:val="nl-NL"/>
        </w:rPr>
      </w:pPr>
      <w:r w:rsidRPr="00AB089B">
        <w:rPr>
          <w:lang w:val="nl-NL"/>
        </w:rPr>
        <w:t>Bij een groot aantal (input-) gegevens is in TCO-</w:t>
      </w:r>
      <w:r w:rsidR="00352057">
        <w:rPr>
          <w:lang w:val="nl-NL"/>
        </w:rPr>
        <w:t>Touringcar</w:t>
      </w:r>
      <w:r w:rsidRPr="00AB089B">
        <w:rPr>
          <w:lang w:val="nl-NL"/>
        </w:rPr>
        <w:t xml:space="preserve"> </w:t>
      </w:r>
      <w:proofErr w:type="gramStart"/>
      <w:r w:rsidRPr="00AB089B">
        <w:rPr>
          <w:lang w:val="nl-NL"/>
        </w:rPr>
        <w:t>reeds</w:t>
      </w:r>
      <w:proofErr w:type="gramEnd"/>
      <w:r w:rsidRPr="00AB089B">
        <w:rPr>
          <w:lang w:val="nl-NL"/>
        </w:rPr>
        <w:t xml:space="preserve"> een </w:t>
      </w:r>
      <w:proofErr w:type="spellStart"/>
      <w:r w:rsidRPr="00AB089B">
        <w:rPr>
          <w:u w:val="single"/>
          <w:lang w:val="nl-NL"/>
        </w:rPr>
        <w:t>defaultwaarde</w:t>
      </w:r>
      <w:proofErr w:type="spellEnd"/>
      <w:r w:rsidRPr="00AB089B">
        <w:rPr>
          <w:lang w:val="nl-NL"/>
        </w:rPr>
        <w:t xml:space="preserve"> ingevuld. Deze </w:t>
      </w:r>
      <w:proofErr w:type="spellStart"/>
      <w:r w:rsidRPr="00AB089B">
        <w:rPr>
          <w:lang w:val="nl-NL"/>
        </w:rPr>
        <w:t>defaultwaarde</w:t>
      </w:r>
      <w:proofErr w:type="spellEnd"/>
      <w:r w:rsidRPr="00AB089B">
        <w:rPr>
          <w:lang w:val="nl-NL"/>
        </w:rPr>
        <w:t xml:space="preserve"> (=standaardwaarde) is gebaseerd op gegevens uit de </w:t>
      </w:r>
      <w:r w:rsidR="00352057">
        <w:rPr>
          <w:lang w:val="nl-NL"/>
        </w:rPr>
        <w:t>touringcarsector</w:t>
      </w:r>
      <w:r w:rsidRPr="00AB089B">
        <w:rPr>
          <w:lang w:val="nl-NL"/>
        </w:rPr>
        <w:t xml:space="preserve">. Veel van deze gegevens kunnen veranderd worden met </w:t>
      </w:r>
      <w:r w:rsidR="00BA0219">
        <w:rPr>
          <w:lang w:val="nl-NL"/>
        </w:rPr>
        <w:t>cijfers van het eigen bedrijf</w:t>
      </w:r>
      <w:r w:rsidRPr="00AB089B">
        <w:rPr>
          <w:lang w:val="nl-NL"/>
        </w:rPr>
        <w:t>.</w:t>
      </w:r>
    </w:p>
    <w:p w14:paraId="74169A2E" w14:textId="77777777" w:rsidR="000B3082" w:rsidRDefault="000B3082">
      <w:pPr>
        <w:rPr>
          <w:b/>
          <w:u w:val="single"/>
          <w:lang w:val="nl-NL"/>
        </w:rPr>
      </w:pPr>
    </w:p>
    <w:p w14:paraId="6F76EE6D" w14:textId="4912DF8A" w:rsidR="009031BB" w:rsidRPr="00AB089B" w:rsidRDefault="009031BB">
      <w:pPr>
        <w:rPr>
          <w:b/>
          <w:u w:val="single"/>
          <w:lang w:val="nl-NL"/>
        </w:rPr>
      </w:pPr>
      <w:r w:rsidRPr="00AB089B">
        <w:rPr>
          <w:b/>
          <w:u w:val="single"/>
          <w:lang w:val="nl-NL"/>
        </w:rPr>
        <w:t>Aan het werk</w:t>
      </w:r>
    </w:p>
    <w:p w14:paraId="1B46A757" w14:textId="2CE633EC" w:rsidR="0035115D" w:rsidRPr="00AB089B" w:rsidRDefault="0035115D">
      <w:pPr>
        <w:rPr>
          <w:lang w:val="nl-NL"/>
        </w:rPr>
      </w:pPr>
      <w:r w:rsidRPr="00AB089B">
        <w:rPr>
          <w:lang w:val="nl-NL"/>
        </w:rPr>
        <w:t>Aan de hand van screenshot</w:t>
      </w:r>
      <w:r w:rsidR="00C87F0C" w:rsidRPr="00AB089B">
        <w:rPr>
          <w:lang w:val="nl-NL"/>
        </w:rPr>
        <w:t>s</w:t>
      </w:r>
      <w:r w:rsidRPr="00AB089B">
        <w:rPr>
          <w:lang w:val="nl-NL"/>
        </w:rPr>
        <w:t xml:space="preserve"> leggen we </w:t>
      </w:r>
      <w:r w:rsidR="003850BE">
        <w:rPr>
          <w:lang w:val="nl-NL"/>
        </w:rPr>
        <w:t xml:space="preserve">de werking van het TCO-model </w:t>
      </w:r>
      <w:r w:rsidRPr="00AB089B">
        <w:rPr>
          <w:lang w:val="nl-NL"/>
        </w:rPr>
        <w:t>uit.</w:t>
      </w:r>
      <w:r w:rsidR="00AB0741">
        <w:rPr>
          <w:lang w:val="nl-NL"/>
        </w:rPr>
        <w:t xml:space="preserve"> Hierbij ligt de focus op de </w:t>
      </w:r>
      <w:r w:rsidR="00AB0741" w:rsidRPr="00AB0741">
        <w:rPr>
          <w:color w:val="4472C4" w:themeColor="accent1"/>
          <w:lang w:val="nl-NL"/>
        </w:rPr>
        <w:t xml:space="preserve">blauwe inputvelden </w:t>
      </w:r>
      <w:r w:rsidR="00AB0741">
        <w:rPr>
          <w:lang w:val="nl-NL"/>
        </w:rPr>
        <w:t>omdat die zelfstandig zijn aan te passen.</w:t>
      </w:r>
    </w:p>
    <w:p w14:paraId="562B706C" w14:textId="77777777" w:rsidR="004C3AD3" w:rsidRPr="004C3AD3" w:rsidRDefault="004C3AD3" w:rsidP="005364C8">
      <w:pPr>
        <w:rPr>
          <w:iCs/>
          <w:lang w:val="nl-NL"/>
        </w:rPr>
      </w:pPr>
    </w:p>
    <w:p w14:paraId="5B84C3B6" w14:textId="77777777" w:rsidR="004C3AD3" w:rsidRPr="00D97657" w:rsidRDefault="004C3AD3" w:rsidP="004C3AD3">
      <w:pPr>
        <w:rPr>
          <w:i/>
          <w:lang w:val="nl-NL"/>
        </w:rPr>
      </w:pPr>
      <w:r w:rsidRPr="00D97657">
        <w:rPr>
          <w:i/>
          <w:lang w:val="nl-NL"/>
        </w:rPr>
        <w:t xml:space="preserve">Maar eerst: </w:t>
      </w:r>
    </w:p>
    <w:p w14:paraId="0F550D37" w14:textId="77777777" w:rsidR="004C3AD3" w:rsidRDefault="004C3AD3" w:rsidP="004C3AD3">
      <w:pPr>
        <w:rPr>
          <w:lang w:val="nl-NL"/>
        </w:rPr>
      </w:pPr>
      <w:r>
        <w:rPr>
          <w:lang w:val="nl-NL"/>
        </w:rPr>
        <w:t>Klik het veld “</w:t>
      </w:r>
      <w:proofErr w:type="spellStart"/>
      <w:r>
        <w:rPr>
          <w:lang w:val="nl-NL"/>
        </w:rPr>
        <w:t>Enable</w:t>
      </w:r>
      <w:proofErr w:type="spellEnd"/>
      <w:r>
        <w:rPr>
          <w:lang w:val="nl-NL"/>
        </w:rPr>
        <w:t xml:space="preserve"> Content” om gebruik te kunnen maken van voor de berekeningen noodzakelijke “</w:t>
      </w:r>
      <w:proofErr w:type="spellStart"/>
      <w:r>
        <w:rPr>
          <w:lang w:val="nl-NL"/>
        </w:rPr>
        <w:t>Macros</w:t>
      </w:r>
      <w:proofErr w:type="spellEnd"/>
      <w:r>
        <w:rPr>
          <w:lang w:val="nl-NL"/>
        </w:rPr>
        <w:t>”.</w:t>
      </w:r>
    </w:p>
    <w:p w14:paraId="662A2DE1" w14:textId="77777777" w:rsidR="004C3AD3" w:rsidRPr="004C3AD3" w:rsidRDefault="004C3AD3" w:rsidP="005364C8">
      <w:pPr>
        <w:rPr>
          <w:iCs/>
          <w:lang w:val="nl-NL"/>
        </w:rPr>
      </w:pPr>
    </w:p>
    <w:p w14:paraId="7DFBC175" w14:textId="3990FDA2" w:rsidR="004C3AD3" w:rsidRPr="004C3AD3" w:rsidRDefault="004C3AD3">
      <w:pPr>
        <w:rPr>
          <w:iCs/>
          <w:u w:val="single"/>
          <w:lang w:val="nl-NL"/>
        </w:rPr>
      </w:pPr>
      <w:r>
        <w:rPr>
          <w:noProof/>
        </w:rPr>
        <w:drawing>
          <wp:inline distT="0" distB="0" distL="0" distR="0" wp14:anchorId="0A5F0101" wp14:editId="79B62BF9">
            <wp:extent cx="4572000" cy="342900"/>
            <wp:effectExtent l="0" t="0" r="0" b="0"/>
            <wp:docPr id="1561829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29355" name=""/>
                    <pic:cNvPicPr/>
                  </pic:nvPicPr>
                  <pic:blipFill>
                    <a:blip r:embed="rId8"/>
                    <a:stretch>
                      <a:fillRect/>
                    </a:stretch>
                  </pic:blipFill>
                  <pic:spPr>
                    <a:xfrm>
                      <a:off x="0" y="0"/>
                      <a:ext cx="4572000" cy="342900"/>
                    </a:xfrm>
                    <a:prstGeom prst="rect">
                      <a:avLst/>
                    </a:prstGeom>
                  </pic:spPr>
                </pic:pic>
              </a:graphicData>
            </a:graphic>
          </wp:inline>
        </w:drawing>
      </w:r>
    </w:p>
    <w:p w14:paraId="43241342" w14:textId="77777777" w:rsidR="004C3AD3" w:rsidRPr="004C3AD3" w:rsidRDefault="004C3AD3">
      <w:pPr>
        <w:rPr>
          <w:iCs/>
          <w:u w:val="single"/>
          <w:lang w:val="nl-NL"/>
        </w:rPr>
      </w:pPr>
    </w:p>
    <w:p w14:paraId="75482678" w14:textId="44ABF087" w:rsidR="00D26547" w:rsidRPr="00D26547" w:rsidRDefault="004C4F28">
      <w:pPr>
        <w:rPr>
          <w:i/>
          <w:u w:val="single"/>
          <w:lang w:val="nl-NL"/>
        </w:rPr>
      </w:pPr>
      <w:r>
        <w:rPr>
          <w:i/>
          <w:u w:val="single"/>
          <w:lang w:val="nl-NL"/>
        </w:rPr>
        <w:t>B</w:t>
      </w:r>
      <w:r w:rsidR="007C7B54">
        <w:rPr>
          <w:i/>
          <w:u w:val="single"/>
          <w:lang w:val="nl-NL"/>
        </w:rPr>
        <w:t>ASISINVOERGEGEVENS</w:t>
      </w:r>
    </w:p>
    <w:p w14:paraId="26D0E2FC" w14:textId="68938C42" w:rsidR="00D26547" w:rsidRDefault="00D26547">
      <w:pPr>
        <w:rPr>
          <w:lang w:val="nl-NL"/>
        </w:rPr>
      </w:pPr>
      <w:r>
        <w:rPr>
          <w:lang w:val="nl-NL"/>
        </w:rPr>
        <w:t xml:space="preserve">Deze beperkte input volstaat </w:t>
      </w:r>
      <w:proofErr w:type="gramStart"/>
      <w:r>
        <w:rPr>
          <w:lang w:val="nl-NL"/>
        </w:rPr>
        <w:t>reeds</w:t>
      </w:r>
      <w:proofErr w:type="gramEnd"/>
      <w:r>
        <w:rPr>
          <w:lang w:val="nl-NL"/>
        </w:rPr>
        <w:t xml:space="preserve"> om een eerste volledige TCO-berekening uit te voeren.</w:t>
      </w:r>
    </w:p>
    <w:p w14:paraId="569B5204" w14:textId="77777777" w:rsidR="00935458" w:rsidRPr="00AB089B" w:rsidRDefault="00935458">
      <w:pPr>
        <w:rPr>
          <w:b/>
          <w:bCs/>
          <w:u w:val="single"/>
          <w:lang w:val="nl-NL"/>
        </w:rPr>
      </w:pPr>
    </w:p>
    <w:p w14:paraId="1FA635A7" w14:textId="60588D46" w:rsidR="00935458" w:rsidRPr="00AB089B" w:rsidRDefault="00352057">
      <w:pPr>
        <w:rPr>
          <w:lang w:val="nl-NL"/>
        </w:rPr>
      </w:pPr>
      <w:r>
        <w:rPr>
          <w:noProof/>
        </w:rPr>
        <w:drawing>
          <wp:inline distT="0" distB="0" distL="0" distR="0" wp14:anchorId="4030AA0B" wp14:editId="4288E473">
            <wp:extent cx="5756910" cy="497840"/>
            <wp:effectExtent l="0" t="0" r="0" b="0"/>
            <wp:docPr id="1950067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06750" name=""/>
                    <pic:cNvPicPr/>
                  </pic:nvPicPr>
                  <pic:blipFill>
                    <a:blip r:embed="rId9"/>
                    <a:stretch>
                      <a:fillRect/>
                    </a:stretch>
                  </pic:blipFill>
                  <pic:spPr>
                    <a:xfrm>
                      <a:off x="0" y="0"/>
                      <a:ext cx="5756910" cy="497840"/>
                    </a:xfrm>
                    <a:prstGeom prst="rect">
                      <a:avLst/>
                    </a:prstGeom>
                  </pic:spPr>
                </pic:pic>
              </a:graphicData>
            </a:graphic>
          </wp:inline>
        </w:drawing>
      </w:r>
    </w:p>
    <w:p w14:paraId="06A605FB" w14:textId="77777777" w:rsidR="009A724E" w:rsidRPr="00AB089B" w:rsidRDefault="009A724E" w:rsidP="009A724E">
      <w:pPr>
        <w:rPr>
          <w:lang w:val="nl-NL"/>
        </w:rPr>
      </w:pPr>
    </w:p>
    <w:p w14:paraId="3501C65A" w14:textId="77777777" w:rsidR="004C3AD3" w:rsidRDefault="004C3AD3">
      <w:pPr>
        <w:rPr>
          <w:lang w:val="nl-NL"/>
        </w:rPr>
      </w:pPr>
      <w:r>
        <w:rPr>
          <w:lang w:val="nl-NL"/>
        </w:rPr>
        <w:br w:type="page"/>
      </w:r>
    </w:p>
    <w:p w14:paraId="0D3D03C0" w14:textId="781E1468" w:rsidR="009A724E" w:rsidRPr="00AB089B" w:rsidRDefault="00D26547" w:rsidP="00C87F0C">
      <w:pPr>
        <w:rPr>
          <w:lang w:val="nl-NL"/>
        </w:rPr>
      </w:pPr>
      <w:r>
        <w:rPr>
          <w:lang w:val="nl-NL"/>
        </w:rPr>
        <w:lastRenderedPageBreak/>
        <w:t>Ondersche</w:t>
      </w:r>
      <w:r w:rsidR="003850BE">
        <w:rPr>
          <w:lang w:val="nl-NL"/>
        </w:rPr>
        <w:t>i</w:t>
      </w:r>
      <w:r>
        <w:rPr>
          <w:lang w:val="nl-NL"/>
        </w:rPr>
        <w:t>den v</w:t>
      </w:r>
      <w:r w:rsidR="009A724E" w:rsidRPr="00AB089B">
        <w:rPr>
          <w:lang w:val="nl-NL"/>
        </w:rPr>
        <w:t>oertuigtype</w:t>
      </w:r>
      <w:r>
        <w:rPr>
          <w:lang w:val="nl-NL"/>
        </w:rPr>
        <w:t>n</w:t>
      </w:r>
      <w:r w:rsidR="009A724E" w:rsidRPr="00AB089B">
        <w:rPr>
          <w:lang w:val="nl-NL"/>
        </w:rPr>
        <w:t>:</w:t>
      </w:r>
    </w:p>
    <w:p w14:paraId="4665051C" w14:textId="74225043" w:rsidR="00935458" w:rsidRPr="00AB089B" w:rsidRDefault="00352057" w:rsidP="00C87F0C">
      <w:pPr>
        <w:pStyle w:val="ListParagraph"/>
        <w:numPr>
          <w:ilvl w:val="0"/>
          <w:numId w:val="2"/>
        </w:numPr>
        <w:rPr>
          <w:lang w:val="nl-NL"/>
        </w:rPr>
      </w:pPr>
      <w:proofErr w:type="spellStart"/>
      <w:r>
        <w:rPr>
          <w:i/>
          <w:iCs/>
          <w:lang w:val="nl-NL"/>
        </w:rPr>
        <w:t>Midibus</w:t>
      </w:r>
      <w:proofErr w:type="spellEnd"/>
      <w:r>
        <w:rPr>
          <w:i/>
          <w:iCs/>
          <w:lang w:val="nl-NL"/>
        </w:rPr>
        <w:t xml:space="preserve">: </w:t>
      </w:r>
      <w:r w:rsidR="008F44D0" w:rsidRPr="00AB089B">
        <w:rPr>
          <w:lang w:val="nl-NL"/>
        </w:rPr>
        <w:t xml:space="preserve">een </w:t>
      </w:r>
      <w:r w:rsidR="00935458" w:rsidRPr="00AB089B">
        <w:rPr>
          <w:lang w:val="nl-NL"/>
        </w:rPr>
        <w:t>2</w:t>
      </w:r>
      <w:r w:rsidR="008F44D0" w:rsidRPr="00AB089B">
        <w:rPr>
          <w:lang w:val="nl-NL"/>
        </w:rPr>
        <w:t>-</w:t>
      </w:r>
      <w:r w:rsidR="00935458" w:rsidRPr="00AB089B">
        <w:rPr>
          <w:lang w:val="nl-NL"/>
        </w:rPr>
        <w:t xml:space="preserve">assige </w:t>
      </w:r>
      <w:r>
        <w:rPr>
          <w:lang w:val="nl-NL"/>
        </w:rPr>
        <w:t>touringcar met maximaal 20 zitplaatsen, minder dan 7,5 meter lang</w:t>
      </w:r>
      <w:r w:rsidR="00F55FF8" w:rsidRPr="00AB089B">
        <w:rPr>
          <w:lang w:val="nl-NL"/>
        </w:rPr>
        <w:t>.</w:t>
      </w:r>
    </w:p>
    <w:p w14:paraId="2C81DAEA" w14:textId="14D3B367" w:rsidR="00935458" w:rsidRPr="00AB089B" w:rsidRDefault="00352057" w:rsidP="00C87F0C">
      <w:pPr>
        <w:pStyle w:val="ListParagraph"/>
        <w:numPr>
          <w:ilvl w:val="0"/>
          <w:numId w:val="2"/>
        </w:numPr>
        <w:rPr>
          <w:lang w:val="nl-NL"/>
        </w:rPr>
      </w:pPr>
      <w:r>
        <w:rPr>
          <w:i/>
          <w:iCs/>
          <w:lang w:val="nl-NL"/>
        </w:rPr>
        <w:t>Intercity bus</w:t>
      </w:r>
      <w:r w:rsidR="00935458" w:rsidRPr="00AB089B">
        <w:rPr>
          <w:i/>
          <w:iCs/>
          <w:lang w:val="nl-NL"/>
        </w:rPr>
        <w:t>:</w:t>
      </w:r>
      <w:r w:rsidR="00AB4D48" w:rsidRPr="00AB089B">
        <w:rPr>
          <w:lang w:val="nl-NL"/>
        </w:rPr>
        <w:t xml:space="preserve"> </w:t>
      </w:r>
      <w:r w:rsidR="008F44D0" w:rsidRPr="00AB089B">
        <w:rPr>
          <w:lang w:val="nl-NL"/>
        </w:rPr>
        <w:t xml:space="preserve">een </w:t>
      </w:r>
      <w:r w:rsidR="00AB4D48" w:rsidRPr="00AB089B">
        <w:rPr>
          <w:lang w:val="nl-NL"/>
        </w:rPr>
        <w:t>2</w:t>
      </w:r>
      <w:r w:rsidR="008F44D0" w:rsidRPr="00AB089B">
        <w:rPr>
          <w:lang w:val="nl-NL"/>
        </w:rPr>
        <w:t>-</w:t>
      </w:r>
      <w:r w:rsidR="00AB4D48" w:rsidRPr="00AB089B">
        <w:rPr>
          <w:lang w:val="nl-NL"/>
        </w:rPr>
        <w:t xml:space="preserve">assige </w:t>
      </w:r>
      <w:r>
        <w:rPr>
          <w:lang w:val="nl-NL"/>
        </w:rPr>
        <w:t xml:space="preserve">touringcar met 41 tot 54 </w:t>
      </w:r>
      <w:proofErr w:type="spellStart"/>
      <w:r>
        <w:rPr>
          <w:lang w:val="nl-NL"/>
        </w:rPr>
        <w:t>zitplaaten</w:t>
      </w:r>
      <w:proofErr w:type="spellEnd"/>
      <w:r>
        <w:rPr>
          <w:lang w:val="nl-NL"/>
        </w:rPr>
        <w:t>, 12 meter lang</w:t>
      </w:r>
      <w:r w:rsidR="00AB4D48" w:rsidRPr="00AB089B">
        <w:rPr>
          <w:lang w:val="nl-NL"/>
        </w:rPr>
        <w:t>.</w:t>
      </w:r>
    </w:p>
    <w:p w14:paraId="0CB81163" w14:textId="1AC1E4EF" w:rsidR="00935458" w:rsidRPr="00AB089B" w:rsidRDefault="00352057" w:rsidP="00C87F0C">
      <w:pPr>
        <w:pStyle w:val="ListParagraph"/>
        <w:numPr>
          <w:ilvl w:val="0"/>
          <w:numId w:val="2"/>
        </w:numPr>
        <w:rPr>
          <w:lang w:val="nl-NL"/>
        </w:rPr>
      </w:pPr>
      <w:r>
        <w:rPr>
          <w:i/>
          <w:iCs/>
          <w:lang w:val="nl-NL"/>
        </w:rPr>
        <w:t>Coach:</w:t>
      </w:r>
      <w:r w:rsidR="00F305EC" w:rsidRPr="00AB089B">
        <w:rPr>
          <w:lang w:val="nl-NL"/>
        </w:rPr>
        <w:t xml:space="preserve"> </w:t>
      </w:r>
      <w:r w:rsidR="008F44D0" w:rsidRPr="00AB089B">
        <w:rPr>
          <w:lang w:val="nl-NL"/>
        </w:rPr>
        <w:t xml:space="preserve">een </w:t>
      </w:r>
      <w:r>
        <w:rPr>
          <w:lang w:val="nl-NL"/>
        </w:rPr>
        <w:t xml:space="preserve">3-assige touringcar met 47 tot 60 </w:t>
      </w:r>
      <w:proofErr w:type="spellStart"/>
      <w:r>
        <w:rPr>
          <w:lang w:val="nl-NL"/>
        </w:rPr>
        <w:t>zitplaaten</w:t>
      </w:r>
      <w:proofErr w:type="spellEnd"/>
      <w:r>
        <w:rPr>
          <w:lang w:val="nl-NL"/>
        </w:rPr>
        <w:t>, 14 meter lang</w:t>
      </w:r>
      <w:r w:rsidR="00F55FF8" w:rsidRPr="00AB089B">
        <w:rPr>
          <w:lang w:val="nl-NL"/>
        </w:rPr>
        <w:t>.</w:t>
      </w:r>
    </w:p>
    <w:p w14:paraId="1A811EFC" w14:textId="12B0AD7B" w:rsidR="00AB4D48" w:rsidRDefault="00AB4D48">
      <w:pPr>
        <w:rPr>
          <w:lang w:val="nl-NL"/>
        </w:rPr>
      </w:pPr>
    </w:p>
    <w:p w14:paraId="245ECAB1" w14:textId="0FD97197" w:rsidR="007C2042" w:rsidRDefault="004C4F28" w:rsidP="007C2042">
      <w:pPr>
        <w:rPr>
          <w:i/>
          <w:iCs/>
          <w:lang w:val="nl-NL"/>
        </w:rPr>
      </w:pPr>
      <w:r w:rsidRPr="004C4F28">
        <w:rPr>
          <w:i/>
          <w:iCs/>
          <w:lang w:val="nl-NL"/>
        </w:rPr>
        <w:t>Verwacht jaarkilometrage</w:t>
      </w:r>
    </w:p>
    <w:p w14:paraId="4AA9395E" w14:textId="16CB7286" w:rsidR="007C2042" w:rsidRPr="00AB089B" w:rsidRDefault="007C2042" w:rsidP="007C2042">
      <w:pPr>
        <w:rPr>
          <w:lang w:val="nl-NL"/>
        </w:rPr>
      </w:pPr>
      <w:r>
        <w:rPr>
          <w:lang w:val="nl-NL"/>
        </w:rPr>
        <w:t>H</w:t>
      </w:r>
      <w:r w:rsidR="004C4F28">
        <w:rPr>
          <w:lang w:val="nl-NL"/>
        </w:rPr>
        <w:t>et aantal kilometers dat de touringcar jaarlijks naar verwachting rijdt.</w:t>
      </w:r>
    </w:p>
    <w:p w14:paraId="590A96E6" w14:textId="77777777" w:rsidR="007C2042" w:rsidRDefault="007C2042">
      <w:pPr>
        <w:rPr>
          <w:i/>
          <w:iCs/>
          <w:lang w:val="nl-NL"/>
        </w:rPr>
      </w:pPr>
    </w:p>
    <w:p w14:paraId="64199625" w14:textId="77777777" w:rsidR="007C2042" w:rsidRDefault="004C4F28" w:rsidP="00D26547">
      <w:pPr>
        <w:rPr>
          <w:i/>
          <w:iCs/>
          <w:lang w:val="nl-NL"/>
        </w:rPr>
      </w:pPr>
      <w:r>
        <w:rPr>
          <w:i/>
          <w:iCs/>
          <w:lang w:val="nl-NL"/>
        </w:rPr>
        <w:t xml:space="preserve">Max. aantal </w:t>
      </w:r>
      <w:proofErr w:type="spellStart"/>
      <w:r>
        <w:rPr>
          <w:i/>
          <w:iCs/>
          <w:lang w:val="nl-NL"/>
        </w:rPr>
        <w:t>stops</w:t>
      </w:r>
      <w:proofErr w:type="spellEnd"/>
      <w:r>
        <w:rPr>
          <w:i/>
          <w:iCs/>
          <w:lang w:val="nl-NL"/>
        </w:rPr>
        <w:t xml:space="preserve"> per dag voor laden voertuig</w:t>
      </w:r>
    </w:p>
    <w:p w14:paraId="196E678B" w14:textId="6BC1E81D" w:rsidR="004C4F28" w:rsidRDefault="007C2042" w:rsidP="00D26547">
      <w:pPr>
        <w:rPr>
          <w:lang w:val="nl-NL"/>
        </w:rPr>
      </w:pPr>
      <w:r>
        <w:rPr>
          <w:lang w:val="nl-NL"/>
        </w:rPr>
        <w:t>H</w:t>
      </w:r>
      <w:r w:rsidR="004C4F28">
        <w:rPr>
          <w:lang w:val="nl-NL"/>
        </w:rPr>
        <w:t xml:space="preserve">ier moet het aantal </w:t>
      </w:r>
      <w:proofErr w:type="spellStart"/>
      <w:r w:rsidR="004C4F28">
        <w:rPr>
          <w:lang w:val="nl-NL"/>
        </w:rPr>
        <w:t>stops</w:t>
      </w:r>
      <w:proofErr w:type="spellEnd"/>
      <w:r w:rsidR="004C4F28">
        <w:rPr>
          <w:lang w:val="nl-NL"/>
        </w:rPr>
        <w:t xml:space="preserve"> worden ingevoerd</w:t>
      </w:r>
      <w:r w:rsidR="00BA0219">
        <w:rPr>
          <w:lang w:val="nl-NL"/>
        </w:rPr>
        <w:t>. Een stop telt alleen als stop als er</w:t>
      </w:r>
      <w:r w:rsidR="004C4F28">
        <w:rPr>
          <w:lang w:val="nl-NL"/>
        </w:rPr>
        <w:t xml:space="preserve"> </w:t>
      </w:r>
      <w:r w:rsidR="00BA0219">
        <w:rPr>
          <w:lang w:val="nl-NL"/>
        </w:rPr>
        <w:t xml:space="preserve">werkelijk tijd is </w:t>
      </w:r>
      <w:r w:rsidR="004C4F28">
        <w:rPr>
          <w:lang w:val="nl-NL"/>
        </w:rPr>
        <w:t xml:space="preserve">om het voertuig </w:t>
      </w:r>
      <w:r w:rsidR="00BA0219">
        <w:rPr>
          <w:lang w:val="nl-NL"/>
        </w:rPr>
        <w:t xml:space="preserve">tijdens zo’n stop </w:t>
      </w:r>
      <w:r w:rsidR="004C4F28">
        <w:rPr>
          <w:lang w:val="nl-NL"/>
        </w:rPr>
        <w:t>op te laden.</w:t>
      </w:r>
    </w:p>
    <w:p w14:paraId="5C27A5C6" w14:textId="77777777" w:rsidR="00BA0219" w:rsidRDefault="00BA0219" w:rsidP="00D26547">
      <w:pPr>
        <w:rPr>
          <w:i/>
          <w:iCs/>
          <w:lang w:val="nl-NL"/>
        </w:rPr>
      </w:pPr>
    </w:p>
    <w:p w14:paraId="1068D714" w14:textId="77777777" w:rsidR="00BA0219" w:rsidRDefault="004C4F28" w:rsidP="00D26547">
      <w:pPr>
        <w:rPr>
          <w:i/>
          <w:iCs/>
          <w:lang w:val="nl-NL"/>
        </w:rPr>
      </w:pPr>
      <w:r w:rsidRPr="004C4F28">
        <w:rPr>
          <w:i/>
          <w:iCs/>
          <w:lang w:val="nl-NL"/>
        </w:rPr>
        <w:t>Gem. oplaadtijd per stop</w:t>
      </w:r>
    </w:p>
    <w:p w14:paraId="1C5C4CA5" w14:textId="210FD95C" w:rsidR="004C4F28" w:rsidRPr="004C4F28" w:rsidRDefault="004C4F28" w:rsidP="00D26547">
      <w:pPr>
        <w:rPr>
          <w:lang w:val="nl-NL"/>
        </w:rPr>
      </w:pPr>
      <w:r>
        <w:rPr>
          <w:lang w:val="nl-NL"/>
        </w:rPr>
        <w:t>De tijd dat zo’n stop (zie vorige punt) duurt.</w:t>
      </w:r>
    </w:p>
    <w:p w14:paraId="52C8A143" w14:textId="177575BC" w:rsidR="004C4F28" w:rsidRDefault="004C4F28" w:rsidP="00D26547">
      <w:pPr>
        <w:rPr>
          <w:i/>
          <w:iCs/>
          <w:lang w:val="nl-NL"/>
        </w:rPr>
      </w:pPr>
    </w:p>
    <w:p w14:paraId="7EA7BE9E" w14:textId="77777777" w:rsidR="007C2042" w:rsidRDefault="004C4F28" w:rsidP="00D26547">
      <w:pPr>
        <w:rPr>
          <w:i/>
          <w:iCs/>
          <w:lang w:val="nl-NL"/>
        </w:rPr>
      </w:pPr>
      <w:r>
        <w:rPr>
          <w:i/>
          <w:iCs/>
          <w:lang w:val="nl-NL"/>
        </w:rPr>
        <w:t>Rechtsvorm en belastingtarief</w:t>
      </w:r>
    </w:p>
    <w:p w14:paraId="1032717C" w14:textId="71532CF7" w:rsidR="004C4F28" w:rsidRPr="004C4F28" w:rsidRDefault="004C4F28" w:rsidP="00D26547">
      <w:pPr>
        <w:rPr>
          <w:lang w:val="nl-NL"/>
        </w:rPr>
      </w:pPr>
      <w:r w:rsidRPr="004C4F28">
        <w:rPr>
          <w:lang w:val="nl-NL"/>
        </w:rPr>
        <w:t>Keuze voor de rechtsvorm waarbij de opties voor een BV/NV met 15% belasting, BV/NV met 25,8% belasting, eenmanszaak met 37,07% belasting en eenmanszaak met 49,5% belasting.</w:t>
      </w:r>
    </w:p>
    <w:p w14:paraId="68797B20" w14:textId="77777777" w:rsidR="004C4F28" w:rsidRDefault="004C4F28" w:rsidP="00D26547">
      <w:pPr>
        <w:rPr>
          <w:i/>
          <w:iCs/>
          <w:lang w:val="nl-NL"/>
        </w:rPr>
      </w:pPr>
    </w:p>
    <w:p w14:paraId="2CD824AD" w14:textId="4F443EDA" w:rsidR="00D26547" w:rsidRPr="00AB089B" w:rsidRDefault="004C4F28" w:rsidP="00D26547">
      <w:pPr>
        <w:rPr>
          <w:bCs/>
          <w:i/>
          <w:u w:val="single"/>
          <w:lang w:val="nl-NL"/>
        </w:rPr>
      </w:pPr>
      <w:r>
        <w:rPr>
          <w:bCs/>
          <w:i/>
          <w:u w:val="single"/>
          <w:lang w:val="nl-NL"/>
        </w:rPr>
        <w:t>I</w:t>
      </w:r>
      <w:r w:rsidR="007C7B54">
        <w:rPr>
          <w:bCs/>
          <w:i/>
          <w:u w:val="single"/>
          <w:lang w:val="nl-NL"/>
        </w:rPr>
        <w:t>NZETGEGEVENS VOERTUIG SYSTEEM</w:t>
      </w:r>
    </w:p>
    <w:p w14:paraId="0FBA3321" w14:textId="77777777" w:rsidR="00D26547" w:rsidRPr="00AB089B" w:rsidRDefault="00D26547">
      <w:pPr>
        <w:rPr>
          <w:lang w:val="nl-NL"/>
        </w:rPr>
      </w:pPr>
    </w:p>
    <w:p w14:paraId="5D5740FC" w14:textId="225D1914" w:rsidR="00B67463" w:rsidRDefault="004C4F28">
      <w:pPr>
        <w:rPr>
          <w:lang w:val="nl-NL"/>
        </w:rPr>
      </w:pPr>
      <w:r>
        <w:rPr>
          <w:noProof/>
        </w:rPr>
        <w:drawing>
          <wp:inline distT="0" distB="0" distL="0" distR="0" wp14:anchorId="6897EBEE" wp14:editId="7DD934BF">
            <wp:extent cx="5756910" cy="1270000"/>
            <wp:effectExtent l="0" t="0" r="0" b="6350"/>
            <wp:docPr id="963852517"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852517" name="Picture 1" descr="Graphical user interface&#10;&#10;Description automatically generated with low confidence"/>
                    <pic:cNvPicPr/>
                  </pic:nvPicPr>
                  <pic:blipFill>
                    <a:blip r:embed="rId10"/>
                    <a:stretch>
                      <a:fillRect/>
                    </a:stretch>
                  </pic:blipFill>
                  <pic:spPr>
                    <a:xfrm>
                      <a:off x="0" y="0"/>
                      <a:ext cx="5756910" cy="1270000"/>
                    </a:xfrm>
                    <a:prstGeom prst="rect">
                      <a:avLst/>
                    </a:prstGeom>
                  </pic:spPr>
                </pic:pic>
              </a:graphicData>
            </a:graphic>
          </wp:inline>
        </w:drawing>
      </w:r>
    </w:p>
    <w:p w14:paraId="73D2ED88" w14:textId="77777777" w:rsidR="00B67463" w:rsidRDefault="00B67463">
      <w:pPr>
        <w:rPr>
          <w:lang w:val="nl-NL"/>
        </w:rPr>
      </w:pPr>
    </w:p>
    <w:p w14:paraId="7A99A203" w14:textId="5FF8EBD2" w:rsidR="00A254E4" w:rsidRPr="00FC63E6" w:rsidRDefault="004C4F28">
      <w:pPr>
        <w:rPr>
          <w:lang w:val="nl-NL"/>
        </w:rPr>
      </w:pPr>
      <w:r>
        <w:rPr>
          <w:i/>
          <w:iCs/>
          <w:lang w:val="nl-NL"/>
        </w:rPr>
        <w:t>Levensduur voertuig</w:t>
      </w:r>
    </w:p>
    <w:p w14:paraId="565794F6" w14:textId="2E3E832B" w:rsidR="004C4F28" w:rsidRPr="00AB089B" w:rsidRDefault="004C4F28" w:rsidP="004C4F28">
      <w:pPr>
        <w:rPr>
          <w:lang w:val="nl-NL"/>
        </w:rPr>
      </w:pPr>
      <w:r w:rsidRPr="007C2042">
        <w:rPr>
          <w:lang w:val="nl-NL"/>
        </w:rPr>
        <w:t xml:space="preserve">De economische levensduur </w:t>
      </w:r>
      <w:r w:rsidR="007C2042">
        <w:rPr>
          <w:lang w:val="nl-NL"/>
        </w:rPr>
        <w:t xml:space="preserve">van de touringcar </w:t>
      </w:r>
      <w:r w:rsidRPr="007C2042">
        <w:rPr>
          <w:lang w:val="nl-NL"/>
        </w:rPr>
        <w:t>kan per type (diesel, elektrisch, waterstof) verschillen. Een</w:t>
      </w:r>
      <w:r w:rsidRPr="00AB089B">
        <w:rPr>
          <w:lang w:val="nl-NL"/>
        </w:rPr>
        <w:t xml:space="preserve"> elektrisch voertuig heeft minder slijtagegevoelige onderdelen dan een diesel. Daarom kan een elektrisch voertuig naar verwachting een langere levensduur hebben dan een diesel. Hier kan een alternatieve levensduur worden ingevuld.</w:t>
      </w:r>
    </w:p>
    <w:p w14:paraId="01A59CEA" w14:textId="3766CF35" w:rsidR="007C2042" w:rsidRDefault="007C2042">
      <w:pPr>
        <w:rPr>
          <w:lang w:val="nl-NL"/>
        </w:rPr>
      </w:pPr>
    </w:p>
    <w:p w14:paraId="7E28074E" w14:textId="164AB816" w:rsidR="007C2042" w:rsidRPr="007C2042" w:rsidRDefault="007C2042">
      <w:pPr>
        <w:rPr>
          <w:i/>
          <w:iCs/>
          <w:lang w:val="nl-NL"/>
        </w:rPr>
      </w:pPr>
      <w:r w:rsidRPr="007C2042">
        <w:rPr>
          <w:i/>
          <w:iCs/>
          <w:lang w:val="nl-NL"/>
        </w:rPr>
        <w:t xml:space="preserve">Levensduur batterij en </w:t>
      </w:r>
      <w:proofErr w:type="spellStart"/>
      <w:r w:rsidRPr="007C2042">
        <w:rPr>
          <w:i/>
          <w:iCs/>
          <w:lang w:val="nl-NL"/>
        </w:rPr>
        <w:t>Fuel</w:t>
      </w:r>
      <w:proofErr w:type="spellEnd"/>
      <w:r w:rsidRPr="007C2042">
        <w:rPr>
          <w:i/>
          <w:iCs/>
          <w:lang w:val="nl-NL"/>
        </w:rPr>
        <w:t xml:space="preserve"> </w:t>
      </w:r>
      <w:proofErr w:type="spellStart"/>
      <w:r w:rsidRPr="007C2042">
        <w:rPr>
          <w:i/>
          <w:iCs/>
          <w:lang w:val="nl-NL"/>
        </w:rPr>
        <w:t>Cell</w:t>
      </w:r>
      <w:proofErr w:type="spellEnd"/>
    </w:p>
    <w:p w14:paraId="4B84DFEF" w14:textId="69072353" w:rsidR="007C2042" w:rsidRDefault="007C2042">
      <w:pPr>
        <w:rPr>
          <w:lang w:val="nl-NL"/>
        </w:rPr>
      </w:pPr>
      <w:r>
        <w:rPr>
          <w:lang w:val="nl-NL"/>
        </w:rPr>
        <w:t xml:space="preserve">De levensduur van de batterij en </w:t>
      </w:r>
      <w:proofErr w:type="spellStart"/>
      <w:r>
        <w:rPr>
          <w:lang w:val="nl-NL"/>
        </w:rPr>
        <w:t>Fuel</w:t>
      </w:r>
      <w:proofErr w:type="spellEnd"/>
      <w:r>
        <w:rPr>
          <w:lang w:val="nl-NL"/>
        </w:rPr>
        <w:t xml:space="preserve"> </w:t>
      </w:r>
      <w:proofErr w:type="spellStart"/>
      <w:r>
        <w:rPr>
          <w:lang w:val="nl-NL"/>
        </w:rPr>
        <w:t>Cell</w:t>
      </w:r>
      <w:proofErr w:type="spellEnd"/>
      <w:r>
        <w:rPr>
          <w:lang w:val="nl-NL"/>
        </w:rPr>
        <w:t xml:space="preserve"> kan verschillen van de levensduur van de touringcar. Vandaar dat dit apart is aan te passen.</w:t>
      </w:r>
    </w:p>
    <w:p w14:paraId="7E2093B1" w14:textId="77777777" w:rsidR="007C2042" w:rsidRDefault="007C2042">
      <w:pPr>
        <w:rPr>
          <w:lang w:val="nl-NL"/>
        </w:rPr>
      </w:pPr>
    </w:p>
    <w:p w14:paraId="3A9F8884" w14:textId="77777777" w:rsidR="007C2042" w:rsidRDefault="007C2042" w:rsidP="007C2042">
      <w:pPr>
        <w:rPr>
          <w:i/>
          <w:iCs/>
          <w:lang w:val="nl-NL"/>
        </w:rPr>
      </w:pPr>
      <w:r w:rsidRPr="00AB089B">
        <w:rPr>
          <w:i/>
          <w:iCs/>
          <w:lang w:val="nl-NL"/>
        </w:rPr>
        <w:t>Aantal productieve</w:t>
      </w:r>
      <w:r>
        <w:rPr>
          <w:i/>
          <w:iCs/>
          <w:lang w:val="nl-NL"/>
        </w:rPr>
        <w:t xml:space="preserve"> dagen/</w:t>
      </w:r>
      <w:r w:rsidRPr="00AB089B">
        <w:rPr>
          <w:i/>
          <w:iCs/>
          <w:lang w:val="nl-NL"/>
        </w:rPr>
        <w:t>uren</w:t>
      </w:r>
    </w:p>
    <w:p w14:paraId="57220354" w14:textId="13031487" w:rsidR="007C2042" w:rsidRPr="00AB089B" w:rsidRDefault="007C2042" w:rsidP="007C2042">
      <w:pPr>
        <w:rPr>
          <w:lang w:val="nl-NL"/>
        </w:rPr>
      </w:pPr>
      <w:r w:rsidRPr="00AB089B">
        <w:rPr>
          <w:lang w:val="nl-NL"/>
        </w:rPr>
        <w:t>De weergegeven standaardwaarde</w:t>
      </w:r>
      <w:r>
        <w:rPr>
          <w:lang w:val="nl-NL"/>
        </w:rPr>
        <w:t xml:space="preserve"> </w:t>
      </w:r>
      <w:r w:rsidRPr="00AB089B">
        <w:rPr>
          <w:lang w:val="nl-NL"/>
        </w:rPr>
        <w:t>voor dieselvoertuigen kan veranderd worden met het cijfer van het eigen bedrijf.</w:t>
      </w:r>
    </w:p>
    <w:p w14:paraId="62A6B751" w14:textId="77777777" w:rsidR="007C2042" w:rsidRDefault="007C2042">
      <w:pPr>
        <w:rPr>
          <w:lang w:val="nl-NL"/>
        </w:rPr>
      </w:pPr>
    </w:p>
    <w:p w14:paraId="5A63B249" w14:textId="77777777" w:rsidR="004C3AD3" w:rsidRDefault="004C3AD3">
      <w:pPr>
        <w:rPr>
          <w:i/>
          <w:iCs/>
          <w:lang w:val="nl-NL"/>
        </w:rPr>
      </w:pPr>
      <w:r>
        <w:rPr>
          <w:i/>
          <w:iCs/>
          <w:lang w:val="nl-NL"/>
        </w:rPr>
        <w:br w:type="page"/>
      </w:r>
    </w:p>
    <w:p w14:paraId="0862A44C" w14:textId="052E4041" w:rsidR="007C7B54" w:rsidRDefault="007C2042" w:rsidP="007C2042">
      <w:pPr>
        <w:rPr>
          <w:i/>
          <w:iCs/>
          <w:lang w:val="nl-NL"/>
        </w:rPr>
      </w:pPr>
      <w:r w:rsidRPr="00AB089B">
        <w:rPr>
          <w:i/>
          <w:iCs/>
          <w:lang w:val="nl-NL"/>
        </w:rPr>
        <w:lastRenderedPageBreak/>
        <w:t>Stilstand voor reparatie</w:t>
      </w:r>
    </w:p>
    <w:p w14:paraId="30D378B7" w14:textId="6824AC64" w:rsidR="007C2042" w:rsidRPr="00AB089B" w:rsidRDefault="007C7B54" w:rsidP="007C2042">
      <w:pPr>
        <w:rPr>
          <w:i/>
          <w:iCs/>
          <w:lang w:val="nl-NL"/>
        </w:rPr>
      </w:pPr>
      <w:r w:rsidRPr="00BA0219">
        <w:rPr>
          <w:lang w:val="nl-NL"/>
        </w:rPr>
        <w:t>H</w:t>
      </w:r>
      <w:r w:rsidR="007C2042" w:rsidRPr="00AB089B">
        <w:rPr>
          <w:lang w:val="nl-NL"/>
        </w:rPr>
        <w:t xml:space="preserve">ier wordt ook de huidige stand van de techniek meegenomen. Het aantal stilstandsdagen wordt gebruikt om het aantal productieve uren voor elektrische voertuigen aan te passen. </w:t>
      </w:r>
      <w:r w:rsidR="007C2042">
        <w:rPr>
          <w:lang w:val="nl-NL"/>
        </w:rPr>
        <w:t xml:space="preserve">In de basissituatie wordt het aantal dagen voor een elektrisch voertuig </w:t>
      </w:r>
      <w:proofErr w:type="gramStart"/>
      <w:r w:rsidR="007C2042">
        <w:rPr>
          <w:lang w:val="nl-NL"/>
        </w:rPr>
        <w:t>gelijk gesteld</w:t>
      </w:r>
      <w:proofErr w:type="gramEnd"/>
      <w:r w:rsidR="007C2042">
        <w:rPr>
          <w:lang w:val="nl-NL"/>
        </w:rPr>
        <w:t xml:space="preserve"> aan die van een dieselvoertuig.</w:t>
      </w:r>
    </w:p>
    <w:p w14:paraId="3BCAD999" w14:textId="1F99BCE8" w:rsidR="007C2042" w:rsidRDefault="007C2042">
      <w:pPr>
        <w:rPr>
          <w:i/>
          <w:iCs/>
          <w:lang w:val="nl-NL"/>
        </w:rPr>
      </w:pPr>
    </w:p>
    <w:p w14:paraId="67F0CC86" w14:textId="330CD3F1" w:rsidR="007C7B54" w:rsidRDefault="007C7B54">
      <w:pPr>
        <w:rPr>
          <w:i/>
          <w:iCs/>
          <w:lang w:val="nl-NL"/>
        </w:rPr>
      </w:pPr>
      <w:r>
        <w:rPr>
          <w:i/>
          <w:iCs/>
          <w:lang w:val="nl-NL"/>
        </w:rPr>
        <w:t>Actieradius</w:t>
      </w:r>
    </w:p>
    <w:p w14:paraId="47A7B2FE" w14:textId="46CF876C" w:rsidR="007C7B54" w:rsidRDefault="007C7B54">
      <w:pPr>
        <w:rPr>
          <w:lang w:val="nl-NL"/>
        </w:rPr>
      </w:pPr>
      <w:r>
        <w:rPr>
          <w:lang w:val="nl-NL"/>
        </w:rPr>
        <w:t>De benodigde actieradius is aan te passen. Door het aanpassen van de actieradius wordt automatisch een grotere batterij voor het elektrische voertuig gekozen.</w:t>
      </w:r>
    </w:p>
    <w:p w14:paraId="228B17BF" w14:textId="4D1AC83D" w:rsidR="007C7B54" w:rsidRDefault="007C7B54">
      <w:pPr>
        <w:rPr>
          <w:lang w:val="nl-NL"/>
        </w:rPr>
      </w:pPr>
    </w:p>
    <w:p w14:paraId="17809B70" w14:textId="32B44B60" w:rsidR="007C7B54" w:rsidRPr="007C7B54" w:rsidRDefault="007C7B54">
      <w:pPr>
        <w:rPr>
          <w:i/>
          <w:iCs/>
          <w:lang w:val="nl-NL"/>
        </w:rPr>
      </w:pPr>
      <w:r w:rsidRPr="007C7B54">
        <w:rPr>
          <w:i/>
          <w:iCs/>
          <w:lang w:val="nl-NL"/>
        </w:rPr>
        <w:t xml:space="preserve">Capaciteit batterij en waterstof </w:t>
      </w:r>
      <w:proofErr w:type="gramStart"/>
      <w:r w:rsidRPr="007C7B54">
        <w:rPr>
          <w:i/>
          <w:iCs/>
          <w:lang w:val="nl-NL"/>
        </w:rPr>
        <w:t>opslag tank</w:t>
      </w:r>
      <w:proofErr w:type="gramEnd"/>
    </w:p>
    <w:p w14:paraId="0D5BEDF3" w14:textId="2E9D2DFC" w:rsidR="007C7B54" w:rsidRPr="007C7B54" w:rsidRDefault="007C7B54">
      <w:pPr>
        <w:rPr>
          <w:lang w:val="nl-NL"/>
        </w:rPr>
      </w:pPr>
      <w:r>
        <w:rPr>
          <w:lang w:val="nl-NL"/>
        </w:rPr>
        <w:t>Voor het waterstof voertuig is de grootte van de batterij en de inhoud van de opslagtank voor de waterstof te selecteren. Hoe groter de opslagtank, hoe meer actieradius het waterstof voertuig heeft.</w:t>
      </w:r>
    </w:p>
    <w:p w14:paraId="46F0D149" w14:textId="77777777" w:rsidR="007C7B54" w:rsidRPr="00AB089B" w:rsidRDefault="007C7B54">
      <w:pPr>
        <w:rPr>
          <w:i/>
          <w:iCs/>
          <w:lang w:val="nl-NL"/>
        </w:rPr>
      </w:pPr>
    </w:p>
    <w:p w14:paraId="697B5F86" w14:textId="5EF9EE97" w:rsidR="00A82509" w:rsidRDefault="002040E1" w:rsidP="00C87F0C">
      <w:pPr>
        <w:rPr>
          <w:i/>
          <w:iCs/>
          <w:lang w:val="nl-NL"/>
        </w:rPr>
      </w:pPr>
      <w:r w:rsidRPr="00AB089B">
        <w:rPr>
          <w:i/>
          <w:iCs/>
          <w:lang w:val="nl-NL"/>
        </w:rPr>
        <w:t>Vermogen eigen oplaadsysteem</w:t>
      </w:r>
    </w:p>
    <w:p w14:paraId="5C7CD43B" w14:textId="23AAB320" w:rsidR="002D680B" w:rsidRPr="00AB089B" w:rsidRDefault="002D680B" w:rsidP="00C87F0C">
      <w:pPr>
        <w:rPr>
          <w:lang w:val="nl-NL"/>
        </w:rPr>
      </w:pPr>
      <w:r w:rsidRPr="00AB089B">
        <w:rPr>
          <w:lang w:val="nl-NL"/>
        </w:rPr>
        <w:t>Een</w:t>
      </w:r>
      <w:r w:rsidR="002040E1" w:rsidRPr="00AB089B">
        <w:rPr>
          <w:lang w:val="nl-NL"/>
        </w:rPr>
        <w:t xml:space="preserve"> eigen oplaadsysteem </w:t>
      </w:r>
      <w:r w:rsidRPr="00AB089B">
        <w:rPr>
          <w:lang w:val="nl-NL"/>
        </w:rPr>
        <w:t xml:space="preserve">is eigenlijk altijd </w:t>
      </w:r>
      <w:r w:rsidR="002040E1" w:rsidRPr="00AB089B">
        <w:rPr>
          <w:lang w:val="nl-NL"/>
        </w:rPr>
        <w:t xml:space="preserve">nodig. </w:t>
      </w:r>
      <w:r w:rsidRPr="00AB089B">
        <w:rPr>
          <w:lang w:val="nl-NL"/>
        </w:rPr>
        <w:t>Het vermogen dat de lader moet kunnen leveren, is vooral a</w:t>
      </w:r>
      <w:r w:rsidR="002040E1" w:rsidRPr="00AB089B">
        <w:rPr>
          <w:lang w:val="nl-NL"/>
        </w:rPr>
        <w:t>fhankelijk van</w:t>
      </w:r>
      <w:r w:rsidRPr="00AB089B">
        <w:rPr>
          <w:lang w:val="nl-NL"/>
        </w:rPr>
        <w:t xml:space="preserve"> twee factoren:</w:t>
      </w:r>
    </w:p>
    <w:p w14:paraId="49EA356E" w14:textId="72B3A809" w:rsidR="002D680B" w:rsidRPr="00AB089B" w:rsidRDefault="002D680B" w:rsidP="00C87F0C">
      <w:pPr>
        <w:pStyle w:val="ListParagraph"/>
        <w:numPr>
          <w:ilvl w:val="1"/>
          <w:numId w:val="3"/>
        </w:numPr>
        <w:rPr>
          <w:lang w:val="nl-NL"/>
        </w:rPr>
      </w:pPr>
      <w:proofErr w:type="gramStart"/>
      <w:r w:rsidRPr="00AB089B">
        <w:rPr>
          <w:lang w:val="nl-NL"/>
        </w:rPr>
        <w:t>het</w:t>
      </w:r>
      <w:proofErr w:type="gramEnd"/>
      <w:r w:rsidRPr="00AB089B">
        <w:rPr>
          <w:lang w:val="nl-NL"/>
        </w:rPr>
        <w:t xml:space="preserve"> aantal kilometers dat het voertuig moet kunnen afleggen op één dag, en</w:t>
      </w:r>
    </w:p>
    <w:p w14:paraId="7A7380F7" w14:textId="74895711" w:rsidR="002D680B" w:rsidRPr="00AB089B" w:rsidRDefault="002D680B" w:rsidP="00C87F0C">
      <w:pPr>
        <w:pStyle w:val="ListParagraph"/>
        <w:numPr>
          <w:ilvl w:val="1"/>
          <w:numId w:val="3"/>
        </w:numPr>
        <w:rPr>
          <w:lang w:val="nl-NL"/>
        </w:rPr>
      </w:pPr>
      <w:proofErr w:type="gramStart"/>
      <w:r w:rsidRPr="00AB089B">
        <w:rPr>
          <w:lang w:val="nl-NL"/>
        </w:rPr>
        <w:t>of</w:t>
      </w:r>
      <w:proofErr w:type="gramEnd"/>
      <w:r w:rsidRPr="00AB089B">
        <w:rPr>
          <w:lang w:val="nl-NL"/>
        </w:rPr>
        <w:t xml:space="preserve"> het voertuig iedere avond op een vaste plek terugkomt en dan de hele nacht kan </w:t>
      </w:r>
      <w:r w:rsidR="00BA0219">
        <w:rPr>
          <w:lang w:val="nl-NL"/>
        </w:rPr>
        <w:t>worden opgeladen</w:t>
      </w:r>
      <w:r w:rsidRPr="00AB089B">
        <w:rPr>
          <w:lang w:val="nl-NL"/>
        </w:rPr>
        <w:t>.</w:t>
      </w:r>
    </w:p>
    <w:p w14:paraId="4B4FB2E5" w14:textId="46021378" w:rsidR="002040E1" w:rsidRPr="00AB089B" w:rsidRDefault="009A724E">
      <w:pPr>
        <w:rPr>
          <w:lang w:val="nl-NL"/>
        </w:rPr>
      </w:pPr>
      <w:r w:rsidRPr="00AB089B">
        <w:rPr>
          <w:lang w:val="nl-NL"/>
        </w:rPr>
        <w:t>Als het voertuig de hele nacht kan opladen,</w:t>
      </w:r>
      <w:r w:rsidR="002D680B" w:rsidRPr="00AB089B">
        <w:rPr>
          <w:lang w:val="nl-NL"/>
        </w:rPr>
        <w:t xml:space="preserve"> is </w:t>
      </w:r>
      <w:r w:rsidR="002040E1" w:rsidRPr="00AB089B">
        <w:rPr>
          <w:lang w:val="nl-NL"/>
        </w:rPr>
        <w:t xml:space="preserve">een </w:t>
      </w:r>
      <w:r w:rsidR="00C87F0C" w:rsidRPr="00AB089B">
        <w:rPr>
          <w:lang w:val="nl-NL"/>
        </w:rPr>
        <w:t>‘</w:t>
      </w:r>
      <w:r w:rsidR="002040E1" w:rsidRPr="00AB089B">
        <w:rPr>
          <w:lang w:val="nl-NL"/>
        </w:rPr>
        <w:t>gewone</w:t>
      </w:r>
      <w:r w:rsidR="00C87F0C" w:rsidRPr="00AB089B">
        <w:rPr>
          <w:lang w:val="nl-NL"/>
        </w:rPr>
        <w:t>’</w:t>
      </w:r>
      <w:r w:rsidR="002040E1" w:rsidRPr="00AB089B">
        <w:rPr>
          <w:lang w:val="nl-NL"/>
        </w:rPr>
        <w:t xml:space="preserve"> AC </w:t>
      </w:r>
      <w:r w:rsidR="002D680B" w:rsidRPr="00AB089B">
        <w:rPr>
          <w:lang w:val="nl-NL"/>
        </w:rPr>
        <w:t>-</w:t>
      </w:r>
      <w:r w:rsidR="002040E1" w:rsidRPr="00AB089B">
        <w:rPr>
          <w:lang w:val="nl-NL"/>
        </w:rPr>
        <w:t xml:space="preserve">lader van </w:t>
      </w:r>
      <w:r w:rsidR="00401CBB" w:rsidRPr="00AB089B">
        <w:rPr>
          <w:lang w:val="nl-NL"/>
        </w:rPr>
        <w:t>20-</w:t>
      </w:r>
      <w:r w:rsidR="002040E1" w:rsidRPr="00AB089B">
        <w:rPr>
          <w:lang w:val="nl-NL"/>
        </w:rPr>
        <w:t>22 of 44</w:t>
      </w:r>
      <w:r w:rsidR="00401CBB" w:rsidRPr="00AB089B">
        <w:rPr>
          <w:lang w:val="nl-NL"/>
        </w:rPr>
        <w:t>-50</w:t>
      </w:r>
      <w:r w:rsidR="002040E1" w:rsidRPr="00AB089B">
        <w:rPr>
          <w:lang w:val="nl-NL"/>
        </w:rPr>
        <w:t xml:space="preserve"> kW </w:t>
      </w:r>
      <w:r w:rsidRPr="00AB089B">
        <w:rPr>
          <w:lang w:val="nl-NL"/>
        </w:rPr>
        <w:t xml:space="preserve">waarschijnlijk </w:t>
      </w:r>
      <w:r w:rsidR="002D680B" w:rsidRPr="00AB089B">
        <w:rPr>
          <w:lang w:val="nl-NL"/>
        </w:rPr>
        <w:t>voldoende</w:t>
      </w:r>
      <w:r w:rsidRPr="00AB089B">
        <w:rPr>
          <w:lang w:val="nl-NL"/>
        </w:rPr>
        <w:t>. S</w:t>
      </w:r>
      <w:r w:rsidR="002D680B" w:rsidRPr="00AB089B">
        <w:rPr>
          <w:lang w:val="nl-NL"/>
        </w:rPr>
        <w:t xml:space="preserve">oms is het beter om te kiezen voor </w:t>
      </w:r>
      <w:r w:rsidR="002040E1" w:rsidRPr="00AB089B">
        <w:rPr>
          <w:lang w:val="nl-NL"/>
        </w:rPr>
        <w:t>een DC</w:t>
      </w:r>
      <w:r w:rsidR="002D680B" w:rsidRPr="00AB089B">
        <w:rPr>
          <w:lang w:val="nl-NL"/>
        </w:rPr>
        <w:t>-</w:t>
      </w:r>
      <w:proofErr w:type="spellStart"/>
      <w:r w:rsidR="002040E1" w:rsidRPr="00AB089B">
        <w:rPr>
          <w:lang w:val="nl-NL"/>
        </w:rPr>
        <w:t>snellader</w:t>
      </w:r>
      <w:proofErr w:type="spellEnd"/>
      <w:r w:rsidR="002040E1" w:rsidRPr="00AB089B">
        <w:rPr>
          <w:lang w:val="nl-NL"/>
        </w:rPr>
        <w:t xml:space="preserve"> </w:t>
      </w:r>
      <w:r w:rsidR="002D680B" w:rsidRPr="00AB089B">
        <w:rPr>
          <w:lang w:val="nl-NL"/>
        </w:rPr>
        <w:t>van 1</w:t>
      </w:r>
      <w:r w:rsidR="00401CBB" w:rsidRPr="00AB089B">
        <w:rPr>
          <w:lang w:val="nl-NL"/>
        </w:rPr>
        <w:t>2</w:t>
      </w:r>
      <w:r w:rsidR="002D680B" w:rsidRPr="00AB089B">
        <w:rPr>
          <w:lang w:val="nl-NL"/>
        </w:rPr>
        <w:t xml:space="preserve">0 </w:t>
      </w:r>
      <w:r w:rsidR="0035115D" w:rsidRPr="00AB089B">
        <w:rPr>
          <w:lang w:val="nl-NL"/>
        </w:rPr>
        <w:t xml:space="preserve">kW </w:t>
      </w:r>
      <w:r w:rsidR="002D680B" w:rsidRPr="00AB089B">
        <w:rPr>
          <w:lang w:val="nl-NL"/>
        </w:rPr>
        <w:t>of</w:t>
      </w:r>
      <w:r w:rsidR="0035115D" w:rsidRPr="00AB089B">
        <w:rPr>
          <w:lang w:val="nl-NL"/>
        </w:rPr>
        <w:t xml:space="preserve"> meer</w:t>
      </w:r>
      <w:r w:rsidR="002D680B" w:rsidRPr="00AB089B">
        <w:rPr>
          <w:lang w:val="nl-NL"/>
        </w:rPr>
        <w:t>. Zo’n DC-</w:t>
      </w:r>
      <w:proofErr w:type="spellStart"/>
      <w:r w:rsidR="002D680B" w:rsidRPr="00AB089B">
        <w:rPr>
          <w:lang w:val="nl-NL"/>
        </w:rPr>
        <w:t>snellader</w:t>
      </w:r>
      <w:proofErr w:type="spellEnd"/>
      <w:r w:rsidR="002D680B" w:rsidRPr="00AB089B">
        <w:rPr>
          <w:lang w:val="nl-NL"/>
        </w:rPr>
        <w:t xml:space="preserve"> kan </w:t>
      </w:r>
      <w:r w:rsidR="002040E1" w:rsidRPr="00AB089B">
        <w:rPr>
          <w:lang w:val="nl-NL"/>
        </w:rPr>
        <w:t xml:space="preserve">voor meerdere voertuigen worden gebruikt. </w:t>
      </w:r>
      <w:r w:rsidR="002D680B" w:rsidRPr="00AB089B">
        <w:rPr>
          <w:lang w:val="nl-NL"/>
        </w:rPr>
        <w:t>DC-</w:t>
      </w:r>
      <w:proofErr w:type="spellStart"/>
      <w:r w:rsidR="002D680B" w:rsidRPr="00AB089B">
        <w:rPr>
          <w:lang w:val="nl-NL"/>
        </w:rPr>
        <w:t>snelladers</w:t>
      </w:r>
      <w:proofErr w:type="spellEnd"/>
      <w:r w:rsidR="002D680B" w:rsidRPr="00AB089B">
        <w:rPr>
          <w:lang w:val="nl-NL"/>
        </w:rPr>
        <w:t xml:space="preserve"> zijn</w:t>
      </w:r>
      <w:r w:rsidR="002040E1" w:rsidRPr="00AB089B">
        <w:rPr>
          <w:lang w:val="nl-NL"/>
        </w:rPr>
        <w:t xml:space="preserve"> aanzienlijk </w:t>
      </w:r>
      <w:r w:rsidR="002D680B" w:rsidRPr="00AB089B">
        <w:rPr>
          <w:lang w:val="nl-NL"/>
        </w:rPr>
        <w:t xml:space="preserve">duurder in </w:t>
      </w:r>
      <w:r w:rsidR="002040E1" w:rsidRPr="00AB089B">
        <w:rPr>
          <w:lang w:val="nl-NL"/>
        </w:rPr>
        <w:t>aanschaf dan de standaard AC</w:t>
      </w:r>
      <w:r w:rsidR="002D680B" w:rsidRPr="00AB089B">
        <w:rPr>
          <w:lang w:val="nl-NL"/>
        </w:rPr>
        <w:t>-</w:t>
      </w:r>
      <w:r w:rsidR="002040E1" w:rsidRPr="00AB089B">
        <w:rPr>
          <w:lang w:val="nl-NL"/>
        </w:rPr>
        <w:t>laders.</w:t>
      </w:r>
      <w:r w:rsidR="0035115D" w:rsidRPr="00AB089B">
        <w:rPr>
          <w:lang w:val="nl-NL"/>
        </w:rPr>
        <w:t xml:space="preserve"> </w:t>
      </w:r>
      <w:r w:rsidR="00C87F0C" w:rsidRPr="00AB089B">
        <w:rPr>
          <w:lang w:val="nl-NL"/>
        </w:rPr>
        <w:t>Check d</w:t>
      </w:r>
      <w:r w:rsidR="0035115D" w:rsidRPr="00AB089B">
        <w:rPr>
          <w:lang w:val="nl-NL"/>
        </w:rPr>
        <w:t xml:space="preserve">aarbij altijd wat de </w:t>
      </w:r>
      <w:r w:rsidR="00C87F0C" w:rsidRPr="00AB089B">
        <w:rPr>
          <w:lang w:val="nl-NL"/>
        </w:rPr>
        <w:t>‘vrije’</w:t>
      </w:r>
      <w:r w:rsidR="0035115D" w:rsidRPr="00AB089B">
        <w:rPr>
          <w:lang w:val="nl-NL"/>
        </w:rPr>
        <w:t xml:space="preserve"> </w:t>
      </w:r>
      <w:r w:rsidR="00A56B97" w:rsidRPr="00AB089B">
        <w:rPr>
          <w:lang w:val="nl-NL"/>
        </w:rPr>
        <w:t>capaciteit is van de</w:t>
      </w:r>
      <w:r w:rsidR="00C87F0C" w:rsidRPr="00AB089B">
        <w:rPr>
          <w:lang w:val="nl-NL"/>
        </w:rPr>
        <w:t xml:space="preserve"> bestaande</w:t>
      </w:r>
      <w:r w:rsidR="00A56B97" w:rsidRPr="00AB089B">
        <w:rPr>
          <w:lang w:val="nl-NL"/>
        </w:rPr>
        <w:t xml:space="preserve"> </w:t>
      </w:r>
      <w:r w:rsidR="00401CBB" w:rsidRPr="00AB089B">
        <w:rPr>
          <w:lang w:val="nl-NL"/>
        </w:rPr>
        <w:t xml:space="preserve">elektrische </w:t>
      </w:r>
      <w:r w:rsidR="00A56B97" w:rsidRPr="00AB089B">
        <w:rPr>
          <w:lang w:val="nl-NL"/>
        </w:rPr>
        <w:t>aansluiting</w:t>
      </w:r>
      <w:r w:rsidR="00EC4090" w:rsidRPr="00AB089B">
        <w:rPr>
          <w:lang w:val="nl-NL"/>
        </w:rPr>
        <w:t xml:space="preserve"> op uw oplaadlocatie</w:t>
      </w:r>
      <w:r w:rsidR="00A56B97" w:rsidRPr="00AB089B">
        <w:rPr>
          <w:lang w:val="nl-NL"/>
        </w:rPr>
        <w:t xml:space="preserve">. Als deze te </w:t>
      </w:r>
      <w:r w:rsidR="00C87F0C" w:rsidRPr="00AB089B">
        <w:rPr>
          <w:lang w:val="nl-NL"/>
        </w:rPr>
        <w:t>weinig ruimte biedt voor de lader,</w:t>
      </w:r>
      <w:r w:rsidR="00A56B97" w:rsidRPr="00AB089B">
        <w:rPr>
          <w:lang w:val="nl-NL"/>
        </w:rPr>
        <w:t xml:space="preserve"> komen er nog extra aansluitkosten bij.</w:t>
      </w:r>
    </w:p>
    <w:p w14:paraId="4D5FE3F3" w14:textId="77777777" w:rsidR="007C7B54" w:rsidRDefault="007C7B54">
      <w:pPr>
        <w:rPr>
          <w:lang w:val="nl-NL"/>
        </w:rPr>
      </w:pPr>
    </w:p>
    <w:p w14:paraId="72B8B259" w14:textId="64ED414E" w:rsidR="007C7B54" w:rsidRPr="00D26547" w:rsidRDefault="007C7B54" w:rsidP="007C7B54">
      <w:pPr>
        <w:rPr>
          <w:i/>
          <w:u w:val="single"/>
          <w:lang w:val="nl-NL"/>
        </w:rPr>
      </w:pPr>
      <w:r>
        <w:rPr>
          <w:i/>
          <w:u w:val="single"/>
          <w:lang w:val="nl-NL"/>
        </w:rPr>
        <w:t>BASIS UITGANGSPUNTEN</w:t>
      </w:r>
    </w:p>
    <w:p w14:paraId="329EEEB4" w14:textId="77777777" w:rsidR="007C7B54" w:rsidRDefault="007C7B54"/>
    <w:p w14:paraId="004516FE" w14:textId="52AC5992" w:rsidR="00DD6E86" w:rsidRPr="00AB089B" w:rsidRDefault="007C7B54">
      <w:pPr>
        <w:rPr>
          <w:lang w:val="nl-NL"/>
        </w:rPr>
      </w:pPr>
      <w:r>
        <w:rPr>
          <w:noProof/>
        </w:rPr>
        <w:drawing>
          <wp:inline distT="0" distB="0" distL="0" distR="0" wp14:anchorId="38F529CE" wp14:editId="4D73A58D">
            <wp:extent cx="5756910" cy="2070735"/>
            <wp:effectExtent l="0" t="0" r="0" b="5715"/>
            <wp:docPr id="899231345" name="Picture 1"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231345" name="Picture 1" descr="A picture containing timeline&#10;&#10;Description automatically generated"/>
                    <pic:cNvPicPr/>
                  </pic:nvPicPr>
                  <pic:blipFill>
                    <a:blip r:embed="rId11"/>
                    <a:stretch>
                      <a:fillRect/>
                    </a:stretch>
                  </pic:blipFill>
                  <pic:spPr>
                    <a:xfrm>
                      <a:off x="0" y="0"/>
                      <a:ext cx="5756910" cy="2070735"/>
                    </a:xfrm>
                    <a:prstGeom prst="rect">
                      <a:avLst/>
                    </a:prstGeom>
                  </pic:spPr>
                </pic:pic>
              </a:graphicData>
            </a:graphic>
          </wp:inline>
        </w:drawing>
      </w:r>
    </w:p>
    <w:p w14:paraId="758FB35C" w14:textId="133746C2" w:rsidR="00DD6E86" w:rsidRDefault="00DD6E86">
      <w:pPr>
        <w:rPr>
          <w:lang w:val="nl-NL"/>
        </w:rPr>
      </w:pPr>
    </w:p>
    <w:p w14:paraId="03B53AE5" w14:textId="77777777" w:rsidR="007C7B54" w:rsidRDefault="007C7B54" w:rsidP="007C7B54">
      <w:pPr>
        <w:rPr>
          <w:i/>
          <w:iCs/>
          <w:lang w:val="nl-NL"/>
        </w:rPr>
      </w:pPr>
      <w:r w:rsidRPr="00AB089B">
        <w:rPr>
          <w:i/>
          <w:iCs/>
          <w:lang w:val="nl-NL"/>
        </w:rPr>
        <w:t>Bruto aankoopprijs</w:t>
      </w:r>
    </w:p>
    <w:p w14:paraId="5F2F1000" w14:textId="1F843B59" w:rsidR="00935458" w:rsidRDefault="007C7B54">
      <w:pPr>
        <w:rPr>
          <w:lang w:val="nl-NL"/>
        </w:rPr>
      </w:pPr>
      <w:r>
        <w:rPr>
          <w:lang w:val="nl-NL"/>
        </w:rPr>
        <w:t xml:space="preserve">De bruto aankoopprijs </w:t>
      </w:r>
      <w:r w:rsidR="000466FD">
        <w:rPr>
          <w:lang w:val="nl-NL"/>
        </w:rPr>
        <w:t xml:space="preserve">(exclusief BTW) </w:t>
      </w:r>
      <w:r>
        <w:rPr>
          <w:lang w:val="nl-NL"/>
        </w:rPr>
        <w:t>bestaat uit de aanschafp</w:t>
      </w:r>
      <w:r w:rsidR="00F95DB5">
        <w:rPr>
          <w:lang w:val="nl-NL"/>
        </w:rPr>
        <w:t>r</w:t>
      </w:r>
      <w:r>
        <w:rPr>
          <w:lang w:val="nl-NL"/>
        </w:rPr>
        <w:t xml:space="preserve">ijs van het voertuig </w:t>
      </w:r>
      <w:r w:rsidR="00F95DB5">
        <w:rPr>
          <w:lang w:val="nl-NL"/>
        </w:rPr>
        <w:t xml:space="preserve">aangevuld met de aanschafprijs </w:t>
      </w:r>
      <w:r w:rsidR="000466FD">
        <w:rPr>
          <w:lang w:val="nl-NL"/>
        </w:rPr>
        <w:t xml:space="preserve">(exclusief BTW) </w:t>
      </w:r>
      <w:r w:rsidR="00F95DB5">
        <w:rPr>
          <w:lang w:val="nl-NL"/>
        </w:rPr>
        <w:t xml:space="preserve">van een tweede accupakket of een tweede </w:t>
      </w:r>
      <w:proofErr w:type="spellStart"/>
      <w:r w:rsidR="00F95DB5">
        <w:rPr>
          <w:lang w:val="nl-NL"/>
        </w:rPr>
        <w:t>fuel</w:t>
      </w:r>
      <w:proofErr w:type="spellEnd"/>
      <w:r w:rsidR="00F95DB5">
        <w:rPr>
          <w:lang w:val="nl-NL"/>
        </w:rPr>
        <w:t xml:space="preserve"> </w:t>
      </w:r>
      <w:proofErr w:type="spellStart"/>
      <w:r w:rsidR="00F95DB5">
        <w:rPr>
          <w:lang w:val="nl-NL"/>
        </w:rPr>
        <w:t>cell</w:t>
      </w:r>
      <w:proofErr w:type="spellEnd"/>
      <w:r w:rsidR="00F95DB5">
        <w:rPr>
          <w:lang w:val="nl-NL"/>
        </w:rPr>
        <w:t xml:space="preserve">. Of een tweede accupakket of </w:t>
      </w:r>
      <w:proofErr w:type="spellStart"/>
      <w:r w:rsidR="00F95DB5">
        <w:rPr>
          <w:lang w:val="nl-NL"/>
        </w:rPr>
        <w:t>fuel</w:t>
      </w:r>
      <w:proofErr w:type="spellEnd"/>
      <w:r w:rsidR="00F95DB5">
        <w:rPr>
          <w:lang w:val="nl-NL"/>
        </w:rPr>
        <w:t xml:space="preserve"> </w:t>
      </w:r>
      <w:proofErr w:type="spellStart"/>
      <w:r w:rsidR="00F95DB5">
        <w:rPr>
          <w:lang w:val="nl-NL"/>
        </w:rPr>
        <w:t>cell</w:t>
      </w:r>
      <w:proofErr w:type="spellEnd"/>
      <w:r w:rsidR="00F95DB5">
        <w:rPr>
          <w:lang w:val="nl-NL"/>
        </w:rPr>
        <w:t xml:space="preserve"> nodig is, is afhankelijk van de ingevulde levensduur van de batterij of </w:t>
      </w:r>
      <w:proofErr w:type="spellStart"/>
      <w:r w:rsidR="00F95DB5">
        <w:rPr>
          <w:lang w:val="nl-NL"/>
        </w:rPr>
        <w:t>fuel</w:t>
      </w:r>
      <w:proofErr w:type="spellEnd"/>
      <w:r w:rsidR="00F95DB5">
        <w:rPr>
          <w:lang w:val="nl-NL"/>
        </w:rPr>
        <w:t xml:space="preserve"> </w:t>
      </w:r>
      <w:proofErr w:type="spellStart"/>
      <w:r w:rsidR="00F95DB5">
        <w:rPr>
          <w:lang w:val="nl-NL"/>
        </w:rPr>
        <w:t>cell</w:t>
      </w:r>
      <w:proofErr w:type="spellEnd"/>
      <w:r w:rsidR="00F95DB5">
        <w:rPr>
          <w:lang w:val="nl-NL"/>
        </w:rPr>
        <w:t xml:space="preserve"> bij de </w:t>
      </w:r>
      <w:r w:rsidR="00F95DB5" w:rsidRPr="00F95DB5">
        <w:rPr>
          <w:i/>
          <w:iCs/>
          <w:u w:val="single"/>
          <w:lang w:val="nl-NL"/>
        </w:rPr>
        <w:t>INZETGEGEVENS VOERTUIG SYSTEEM</w:t>
      </w:r>
      <w:r w:rsidR="00F95DB5">
        <w:rPr>
          <w:lang w:val="nl-NL"/>
        </w:rPr>
        <w:t>. Een u</w:t>
      </w:r>
      <w:r w:rsidRPr="00AB089B">
        <w:rPr>
          <w:lang w:val="nl-NL"/>
        </w:rPr>
        <w:t xml:space="preserve">it </w:t>
      </w:r>
      <w:r w:rsidRPr="00AB089B">
        <w:rPr>
          <w:lang w:val="nl-NL"/>
        </w:rPr>
        <w:lastRenderedPageBreak/>
        <w:t xml:space="preserve">marktonderzoek verkregen prijs van vergelijkbare voertuigen staat al in de tabel </w:t>
      </w:r>
      <w:r w:rsidR="00F95DB5">
        <w:rPr>
          <w:lang w:val="nl-NL"/>
        </w:rPr>
        <w:t xml:space="preserve">als </w:t>
      </w:r>
      <w:r w:rsidRPr="00AB089B">
        <w:rPr>
          <w:lang w:val="nl-NL"/>
        </w:rPr>
        <w:t xml:space="preserve">default. </w:t>
      </w:r>
      <w:r w:rsidR="00F95DB5">
        <w:rPr>
          <w:lang w:val="nl-NL"/>
        </w:rPr>
        <w:t xml:space="preserve">Indien gewenst kan hier de prijs worden aangepast </w:t>
      </w:r>
      <w:r w:rsidRPr="00AB089B">
        <w:rPr>
          <w:lang w:val="nl-NL"/>
        </w:rPr>
        <w:t>(</w:t>
      </w:r>
      <w:r w:rsidR="00F95DB5">
        <w:rPr>
          <w:lang w:val="nl-NL"/>
        </w:rPr>
        <w:t xml:space="preserve">bijvoorbeeld als </w:t>
      </w:r>
      <w:r w:rsidRPr="00AB089B">
        <w:rPr>
          <w:lang w:val="nl-NL"/>
        </w:rPr>
        <w:t>uit een recente offerte</w:t>
      </w:r>
      <w:r w:rsidR="00F95DB5">
        <w:rPr>
          <w:lang w:val="nl-NL"/>
        </w:rPr>
        <w:t xml:space="preserve"> een andere prijs blijkt</w:t>
      </w:r>
      <w:r w:rsidRPr="00AB089B">
        <w:rPr>
          <w:lang w:val="nl-NL"/>
        </w:rPr>
        <w:t>).</w:t>
      </w:r>
      <w:r w:rsidRPr="00AB089B">
        <w:rPr>
          <w:lang w:val="nl-NL"/>
        </w:rPr>
        <w:br/>
      </w:r>
    </w:p>
    <w:p w14:paraId="7CE9B112" w14:textId="38C486E2" w:rsidR="00F95DB5" w:rsidRPr="00F95DB5" w:rsidRDefault="00F95DB5">
      <w:pPr>
        <w:rPr>
          <w:i/>
          <w:iCs/>
          <w:lang w:val="nl-NL"/>
        </w:rPr>
      </w:pPr>
      <w:r w:rsidRPr="00F95DB5">
        <w:rPr>
          <w:i/>
          <w:iCs/>
          <w:lang w:val="nl-NL"/>
        </w:rPr>
        <w:t>Toepassen MIA-subsidie</w:t>
      </w:r>
    </w:p>
    <w:p w14:paraId="2F890143" w14:textId="1C934797" w:rsidR="00F95DB5" w:rsidRDefault="00F95DB5">
      <w:pPr>
        <w:rPr>
          <w:lang w:val="nl-NL"/>
        </w:rPr>
      </w:pPr>
      <w:r>
        <w:rPr>
          <w:lang w:val="nl-NL"/>
        </w:rPr>
        <w:t xml:space="preserve">De Milieu-investeringsaftrek (MIA) biedt de mogelijkheid de fiscale winst te verlagen. Tot 45% van het investeringsbedrag van een Zero-Emissie touringcar is in mindering te brengen op de winst. </w:t>
      </w:r>
      <w:proofErr w:type="spellStart"/>
      <w:r>
        <w:rPr>
          <w:lang w:val="nl-NL"/>
        </w:rPr>
        <w:t>Defaultwaarde</w:t>
      </w:r>
      <w:proofErr w:type="spellEnd"/>
      <w:r>
        <w:rPr>
          <w:lang w:val="nl-NL"/>
        </w:rPr>
        <w:t xml:space="preserve"> is dat de MIA-subsidie niet wordt toegepast.</w:t>
      </w:r>
    </w:p>
    <w:p w14:paraId="2051525C" w14:textId="592E1B35" w:rsidR="00F95DB5" w:rsidRDefault="00F95DB5">
      <w:pPr>
        <w:rPr>
          <w:lang w:val="nl-NL"/>
        </w:rPr>
      </w:pPr>
    </w:p>
    <w:p w14:paraId="58D6B8AA" w14:textId="0FBF6E69" w:rsidR="00F95DB5" w:rsidRPr="00F95DB5" w:rsidRDefault="00F95DB5">
      <w:pPr>
        <w:rPr>
          <w:i/>
          <w:iCs/>
          <w:lang w:val="nl-NL"/>
        </w:rPr>
      </w:pPr>
      <w:r w:rsidRPr="00F95DB5">
        <w:rPr>
          <w:i/>
          <w:iCs/>
          <w:lang w:val="nl-NL"/>
        </w:rPr>
        <w:t>Aanschafsubsidie ZE-voertuig</w:t>
      </w:r>
    </w:p>
    <w:p w14:paraId="55D46BF1" w14:textId="44FDA2C7" w:rsidR="00F95DB5" w:rsidRDefault="00F95DB5">
      <w:pPr>
        <w:rPr>
          <w:lang w:val="nl-NL"/>
        </w:rPr>
      </w:pPr>
      <w:r w:rsidRPr="00AB089B">
        <w:rPr>
          <w:lang w:val="nl-NL"/>
        </w:rPr>
        <w:t xml:space="preserve">Er bestaan lokale (gemeentelijke), landelijke en projectsubsidies voor de aanschaf van elektrische </w:t>
      </w:r>
      <w:r>
        <w:rPr>
          <w:lang w:val="nl-NL"/>
        </w:rPr>
        <w:t xml:space="preserve">of waterstof </w:t>
      </w:r>
      <w:r w:rsidRPr="00AB089B">
        <w:rPr>
          <w:lang w:val="nl-NL"/>
        </w:rPr>
        <w:t>voertuigen. Dit bedrag kan hier ingevuld worden.</w:t>
      </w:r>
    </w:p>
    <w:p w14:paraId="188E2007" w14:textId="77777777" w:rsidR="00487427" w:rsidRDefault="00487427">
      <w:pPr>
        <w:rPr>
          <w:lang w:val="nl-NL"/>
        </w:rPr>
      </w:pPr>
    </w:p>
    <w:p w14:paraId="1F6F5C46" w14:textId="77777777" w:rsidR="00487427" w:rsidRPr="00AB089B" w:rsidRDefault="00487427" w:rsidP="00487427">
      <w:pPr>
        <w:rPr>
          <w:lang w:val="nl-NL"/>
        </w:rPr>
      </w:pPr>
      <w:r w:rsidRPr="00AB089B">
        <w:rPr>
          <w:i/>
          <w:iCs/>
          <w:lang w:val="nl-NL"/>
        </w:rPr>
        <w:t>Netto aankoopprijs</w:t>
      </w:r>
      <w:r w:rsidRPr="00AB089B">
        <w:rPr>
          <w:lang w:val="nl-NL"/>
        </w:rPr>
        <w:t xml:space="preserve">: de uiteindelijk te betalen prijs. Dit bedrag kan </w:t>
      </w:r>
      <w:r w:rsidRPr="00AB089B">
        <w:rPr>
          <w:u w:val="single"/>
          <w:lang w:val="nl-NL"/>
        </w:rPr>
        <w:t>niet</w:t>
      </w:r>
      <w:r w:rsidRPr="00AB089B">
        <w:rPr>
          <w:lang w:val="nl-NL"/>
        </w:rPr>
        <w:t xml:space="preserve"> gewijzigd worden.</w:t>
      </w:r>
    </w:p>
    <w:p w14:paraId="0E33B7F5" w14:textId="77777777" w:rsidR="00487427" w:rsidRPr="00AB089B" w:rsidRDefault="00487427">
      <w:pPr>
        <w:rPr>
          <w:i/>
          <w:iCs/>
          <w:lang w:val="nl-NL"/>
        </w:rPr>
      </w:pPr>
    </w:p>
    <w:p w14:paraId="38699E52" w14:textId="77777777" w:rsidR="00F95DB5" w:rsidRDefault="00F95DB5" w:rsidP="00F95DB5">
      <w:pPr>
        <w:rPr>
          <w:i/>
          <w:iCs/>
          <w:lang w:val="nl-NL"/>
        </w:rPr>
      </w:pPr>
      <w:r w:rsidRPr="00AB089B">
        <w:rPr>
          <w:i/>
          <w:iCs/>
          <w:lang w:val="nl-NL"/>
        </w:rPr>
        <w:t>Restwaarde</w:t>
      </w:r>
    </w:p>
    <w:p w14:paraId="18903C69" w14:textId="52DE1040" w:rsidR="00F95DB5" w:rsidRPr="00AB089B" w:rsidRDefault="00F95DB5" w:rsidP="00F95DB5">
      <w:pPr>
        <w:rPr>
          <w:lang w:val="nl-NL"/>
        </w:rPr>
      </w:pPr>
      <w:r w:rsidRPr="00AB089B">
        <w:rPr>
          <w:lang w:val="nl-NL"/>
        </w:rPr>
        <w:t>De standaard (default)waarde is</w:t>
      </w:r>
      <w:r>
        <w:rPr>
          <w:lang w:val="nl-NL"/>
        </w:rPr>
        <w:t xml:space="preserve"> een percentage</w:t>
      </w:r>
      <w:r w:rsidRPr="00AB089B">
        <w:rPr>
          <w:lang w:val="nl-NL"/>
        </w:rPr>
        <w:t xml:space="preserve"> van de nieuwwaarde. </w:t>
      </w:r>
      <w:r>
        <w:rPr>
          <w:lang w:val="nl-NL"/>
        </w:rPr>
        <w:t xml:space="preserve">Dit percentage is afhankelijk van de economische levensduur. </w:t>
      </w:r>
      <w:r w:rsidRPr="00AB089B">
        <w:rPr>
          <w:lang w:val="nl-NL"/>
        </w:rPr>
        <w:t xml:space="preserve">Hier kan een alternatieve restwaarde worden ingevuld. </w:t>
      </w:r>
    </w:p>
    <w:p w14:paraId="3C480DA7" w14:textId="565D429E" w:rsidR="00F95DB5" w:rsidRDefault="00F95DB5">
      <w:pPr>
        <w:rPr>
          <w:lang w:val="nl-NL"/>
        </w:rPr>
      </w:pPr>
    </w:p>
    <w:p w14:paraId="381D9CE4" w14:textId="216902C5" w:rsidR="00487427" w:rsidRDefault="00487427" w:rsidP="00487427">
      <w:pPr>
        <w:rPr>
          <w:i/>
          <w:iCs/>
          <w:lang w:val="nl-NL"/>
        </w:rPr>
      </w:pPr>
      <w:r>
        <w:rPr>
          <w:i/>
          <w:iCs/>
          <w:lang w:val="nl-NL"/>
        </w:rPr>
        <w:t>Bruto kosten inkoop oplaadsysteem</w:t>
      </w:r>
    </w:p>
    <w:p w14:paraId="6CCFC4CA" w14:textId="6318AAE5" w:rsidR="00487427" w:rsidRPr="007C0B57" w:rsidRDefault="00487427" w:rsidP="00487427">
      <w:pPr>
        <w:rPr>
          <w:iCs/>
          <w:lang w:val="nl-NL"/>
        </w:rPr>
      </w:pPr>
      <w:r w:rsidRPr="003850BE">
        <w:rPr>
          <w:lang w:val="nl-NL"/>
        </w:rPr>
        <w:t>H</w:t>
      </w:r>
      <w:r w:rsidRPr="007C0B57">
        <w:rPr>
          <w:iCs/>
          <w:lang w:val="nl-NL"/>
        </w:rPr>
        <w:t xml:space="preserve">ier worden alle kosten van de inkoop </w:t>
      </w:r>
      <w:r>
        <w:rPr>
          <w:iCs/>
          <w:lang w:val="nl-NL"/>
        </w:rPr>
        <w:t>v</w:t>
      </w:r>
      <w:r w:rsidRPr="007C0B57">
        <w:rPr>
          <w:iCs/>
          <w:lang w:val="nl-NL"/>
        </w:rPr>
        <w:t xml:space="preserve">an de lader bedoeld, dus </w:t>
      </w:r>
      <w:r w:rsidRPr="007C0B57">
        <w:rPr>
          <w:iCs/>
          <w:u w:val="single"/>
          <w:lang w:val="nl-NL"/>
        </w:rPr>
        <w:t>inclusief</w:t>
      </w:r>
      <w:r w:rsidRPr="007C0B57">
        <w:rPr>
          <w:iCs/>
          <w:lang w:val="nl-NL"/>
        </w:rPr>
        <w:t xml:space="preserve"> de aanschafprijs van de lader zelf.</w:t>
      </w:r>
    </w:p>
    <w:p w14:paraId="79BD7310" w14:textId="77777777" w:rsidR="00487427" w:rsidRDefault="00487427" w:rsidP="00487427">
      <w:pPr>
        <w:rPr>
          <w:i/>
          <w:iCs/>
          <w:lang w:val="nl-NL"/>
        </w:rPr>
      </w:pPr>
    </w:p>
    <w:p w14:paraId="7B088DB5" w14:textId="77777777" w:rsidR="00487427" w:rsidRDefault="00487427" w:rsidP="00487427">
      <w:pPr>
        <w:rPr>
          <w:i/>
          <w:iCs/>
          <w:lang w:val="nl-NL"/>
        </w:rPr>
      </w:pPr>
      <w:r>
        <w:rPr>
          <w:i/>
          <w:iCs/>
          <w:lang w:val="nl-NL"/>
        </w:rPr>
        <w:t>Bruto kosten aanleg oplaadsysteem</w:t>
      </w:r>
    </w:p>
    <w:p w14:paraId="73F42C6A" w14:textId="0A84BCE0" w:rsidR="00487427" w:rsidRPr="00AB089B" w:rsidRDefault="00487427" w:rsidP="00487427">
      <w:pPr>
        <w:rPr>
          <w:lang w:val="nl-NL"/>
        </w:rPr>
      </w:pPr>
      <w:r>
        <w:rPr>
          <w:lang w:val="nl-NL"/>
        </w:rPr>
        <w:t>H</w:t>
      </w:r>
      <w:r w:rsidRPr="00AB089B">
        <w:rPr>
          <w:lang w:val="nl-NL"/>
        </w:rPr>
        <w:t xml:space="preserve">ier </w:t>
      </w:r>
      <w:r>
        <w:rPr>
          <w:lang w:val="nl-NL"/>
        </w:rPr>
        <w:t>staan</w:t>
      </w:r>
      <w:r w:rsidRPr="00AB089B">
        <w:rPr>
          <w:lang w:val="nl-NL"/>
        </w:rPr>
        <w:t xml:space="preserve"> alle kosten van de aanleg </w:t>
      </w:r>
      <w:r>
        <w:rPr>
          <w:lang w:val="nl-NL"/>
        </w:rPr>
        <w:t xml:space="preserve">(grondwerk, aansluitkosten, vergunningen, etc.) </w:t>
      </w:r>
      <w:r w:rsidRPr="00AB089B">
        <w:rPr>
          <w:lang w:val="nl-NL"/>
        </w:rPr>
        <w:t xml:space="preserve">van de lader bedoeld, </w:t>
      </w:r>
      <w:r>
        <w:rPr>
          <w:lang w:val="nl-NL"/>
        </w:rPr>
        <w:t>maar</w:t>
      </w:r>
      <w:r w:rsidRPr="00AB089B">
        <w:rPr>
          <w:lang w:val="nl-NL"/>
        </w:rPr>
        <w:t xml:space="preserve"> </w:t>
      </w:r>
      <w:r w:rsidRPr="007C0B57">
        <w:rPr>
          <w:u w:val="single"/>
          <w:lang w:val="nl-NL"/>
        </w:rPr>
        <w:t>exclusief</w:t>
      </w:r>
      <w:r w:rsidRPr="00AB089B">
        <w:rPr>
          <w:lang w:val="nl-NL"/>
        </w:rPr>
        <w:t xml:space="preserve"> de aanschafprijs van de lader zelf.</w:t>
      </w:r>
      <w:r w:rsidRPr="00AB089B">
        <w:rPr>
          <w:lang w:val="nl-NL"/>
        </w:rPr>
        <w:br/>
      </w:r>
    </w:p>
    <w:p w14:paraId="1549310B" w14:textId="77777777" w:rsidR="00487427" w:rsidRDefault="00487427" w:rsidP="00487427">
      <w:pPr>
        <w:rPr>
          <w:i/>
          <w:iCs/>
          <w:lang w:val="nl-NL"/>
        </w:rPr>
      </w:pPr>
      <w:r>
        <w:rPr>
          <w:i/>
          <w:iCs/>
          <w:lang w:val="nl-NL"/>
        </w:rPr>
        <w:t>Toepassen MIA-s</w:t>
      </w:r>
      <w:r w:rsidRPr="00AB089B">
        <w:rPr>
          <w:i/>
          <w:iCs/>
          <w:lang w:val="nl-NL"/>
        </w:rPr>
        <w:t>ubsidies</w:t>
      </w:r>
    </w:p>
    <w:p w14:paraId="525B9008" w14:textId="2CBCA071" w:rsidR="00487427" w:rsidRDefault="00487427" w:rsidP="00487427">
      <w:pPr>
        <w:rPr>
          <w:lang w:val="nl-NL"/>
        </w:rPr>
      </w:pPr>
      <w:r>
        <w:rPr>
          <w:lang w:val="nl-NL"/>
        </w:rPr>
        <w:t xml:space="preserve">De Milieu-investeringsaftrek (MIA) biedt de mogelijkheid de fiscale winst te verlagen. Tot 45% van het investeringsbedrag van een oplaadsysteem is in mindering te brengen op de winst. </w:t>
      </w:r>
      <w:proofErr w:type="spellStart"/>
      <w:r>
        <w:rPr>
          <w:lang w:val="nl-NL"/>
        </w:rPr>
        <w:t>Defaultwaarde</w:t>
      </w:r>
      <w:proofErr w:type="spellEnd"/>
      <w:r>
        <w:rPr>
          <w:lang w:val="nl-NL"/>
        </w:rPr>
        <w:t xml:space="preserve"> is dat de MIA-subsidie niet wordt toegepast.</w:t>
      </w:r>
    </w:p>
    <w:p w14:paraId="2309E314" w14:textId="77777777" w:rsidR="00487427" w:rsidRDefault="00487427">
      <w:pPr>
        <w:rPr>
          <w:lang w:val="nl-NL"/>
        </w:rPr>
      </w:pPr>
    </w:p>
    <w:p w14:paraId="75465A48" w14:textId="1811B098" w:rsidR="00487427" w:rsidRPr="00487427" w:rsidRDefault="00487427">
      <w:pPr>
        <w:rPr>
          <w:i/>
          <w:iCs/>
          <w:lang w:val="nl-NL"/>
        </w:rPr>
      </w:pPr>
      <w:r w:rsidRPr="00487427">
        <w:rPr>
          <w:i/>
          <w:iCs/>
          <w:lang w:val="nl-NL"/>
        </w:rPr>
        <w:t>Netto kosten oplaadsysteem</w:t>
      </w:r>
    </w:p>
    <w:p w14:paraId="79B06692" w14:textId="0D4A1DA3" w:rsidR="00487427" w:rsidRDefault="00487427">
      <w:pPr>
        <w:rPr>
          <w:lang w:val="nl-NL"/>
        </w:rPr>
      </w:pPr>
      <w:r>
        <w:rPr>
          <w:lang w:val="nl-NL"/>
        </w:rPr>
        <w:t>De gekozen opties voor de bruto kosten van de inkoop en aanleg van het oplaadsysteem samen met het al dan niet toepassen van de MIA-subsidie geven de netto kosten van het oplaadsysteem.</w:t>
      </w:r>
    </w:p>
    <w:p w14:paraId="233EE035" w14:textId="77777777" w:rsidR="00487427" w:rsidRDefault="00487427">
      <w:pPr>
        <w:rPr>
          <w:lang w:val="nl-NL"/>
        </w:rPr>
      </w:pPr>
    </w:p>
    <w:p w14:paraId="60E9FA94" w14:textId="77777777" w:rsidR="00487427" w:rsidRDefault="00487427">
      <w:pPr>
        <w:rPr>
          <w:i/>
          <w:iCs/>
          <w:lang w:val="nl-NL"/>
        </w:rPr>
      </w:pPr>
      <w:r>
        <w:rPr>
          <w:i/>
          <w:iCs/>
          <w:lang w:val="nl-NL"/>
        </w:rPr>
        <w:t>Basisprijs energie</w:t>
      </w:r>
    </w:p>
    <w:p w14:paraId="62C54CA6" w14:textId="18521530" w:rsidR="00DD6E86" w:rsidRPr="00AB089B" w:rsidRDefault="00E36797">
      <w:pPr>
        <w:rPr>
          <w:lang w:val="nl-NL"/>
        </w:rPr>
      </w:pPr>
      <w:r w:rsidRPr="00AB089B">
        <w:rPr>
          <w:iCs/>
          <w:lang w:val="nl-NL"/>
        </w:rPr>
        <w:t>D</w:t>
      </w:r>
      <w:r w:rsidR="00DD6E86" w:rsidRPr="00AB089B">
        <w:rPr>
          <w:lang w:val="nl-NL"/>
        </w:rPr>
        <w:t xml:space="preserve">it is </w:t>
      </w:r>
      <w:r w:rsidR="000466FD">
        <w:rPr>
          <w:lang w:val="nl-NL"/>
        </w:rPr>
        <w:t xml:space="preserve">de </w:t>
      </w:r>
      <w:r w:rsidR="00487427">
        <w:rPr>
          <w:lang w:val="nl-NL"/>
        </w:rPr>
        <w:t xml:space="preserve">prijs </w:t>
      </w:r>
      <w:r w:rsidR="000466FD">
        <w:rPr>
          <w:lang w:val="nl-NL"/>
        </w:rPr>
        <w:t xml:space="preserve">(exclusief BTW) </w:t>
      </w:r>
      <w:r w:rsidR="00487427">
        <w:rPr>
          <w:lang w:val="nl-NL"/>
        </w:rPr>
        <w:t xml:space="preserve">voor diesel, elektriciteit of waterstof. </w:t>
      </w:r>
      <w:r w:rsidRPr="00AB089B">
        <w:rPr>
          <w:lang w:val="nl-NL"/>
        </w:rPr>
        <w:t xml:space="preserve">Accepteer de </w:t>
      </w:r>
      <w:proofErr w:type="spellStart"/>
      <w:r w:rsidRPr="00AB089B">
        <w:rPr>
          <w:lang w:val="nl-NL"/>
        </w:rPr>
        <w:t>defaultwaarde</w:t>
      </w:r>
      <w:proofErr w:type="spellEnd"/>
      <w:r w:rsidRPr="00AB089B">
        <w:rPr>
          <w:lang w:val="nl-NL"/>
        </w:rPr>
        <w:t xml:space="preserve"> of </w:t>
      </w:r>
      <w:r w:rsidR="009A724E" w:rsidRPr="00AB089B">
        <w:rPr>
          <w:lang w:val="nl-NL"/>
        </w:rPr>
        <w:t>vul de</w:t>
      </w:r>
      <w:r w:rsidR="00DD6E86" w:rsidRPr="00AB089B">
        <w:rPr>
          <w:lang w:val="nl-NL"/>
        </w:rPr>
        <w:t xml:space="preserve"> prijs</w:t>
      </w:r>
      <w:r w:rsidR="00487427">
        <w:rPr>
          <w:lang w:val="nl-NL"/>
        </w:rPr>
        <w:t xml:space="preserve"> per liter</w:t>
      </w:r>
      <w:r w:rsidR="00DD6E86" w:rsidRPr="00AB089B">
        <w:rPr>
          <w:lang w:val="nl-NL"/>
        </w:rPr>
        <w:t>/kWh</w:t>
      </w:r>
      <w:r w:rsidR="00487427">
        <w:rPr>
          <w:lang w:val="nl-NL"/>
        </w:rPr>
        <w:t>/kg</w:t>
      </w:r>
      <w:r w:rsidR="00DD6E86" w:rsidRPr="00AB089B">
        <w:rPr>
          <w:lang w:val="nl-NL"/>
        </w:rPr>
        <w:t xml:space="preserve"> </w:t>
      </w:r>
      <w:r w:rsidR="009A724E" w:rsidRPr="00AB089B">
        <w:rPr>
          <w:lang w:val="nl-NL"/>
        </w:rPr>
        <w:t>in die u zelf betaalt</w:t>
      </w:r>
      <w:r w:rsidR="00CA391B" w:rsidRPr="00AB089B">
        <w:rPr>
          <w:lang w:val="nl-NL"/>
        </w:rPr>
        <w:t xml:space="preserve"> incl</w:t>
      </w:r>
      <w:r w:rsidR="00C87F0C" w:rsidRPr="00AB089B">
        <w:rPr>
          <w:lang w:val="nl-NL"/>
        </w:rPr>
        <w:t>usief</w:t>
      </w:r>
      <w:r w:rsidR="00CA391B" w:rsidRPr="00AB089B">
        <w:rPr>
          <w:lang w:val="nl-NL"/>
        </w:rPr>
        <w:t xml:space="preserve"> energiebelasting</w:t>
      </w:r>
      <w:r w:rsidR="009A724E" w:rsidRPr="00AB089B">
        <w:rPr>
          <w:lang w:val="nl-NL"/>
        </w:rPr>
        <w:t>.</w:t>
      </w:r>
      <w:r w:rsidR="00DD6E86" w:rsidRPr="00AB089B">
        <w:rPr>
          <w:lang w:val="nl-NL"/>
        </w:rPr>
        <w:t xml:space="preserve"> </w:t>
      </w:r>
    </w:p>
    <w:p w14:paraId="461A5D30" w14:textId="49B9615F" w:rsidR="00DD6E86" w:rsidRDefault="00DD6E86">
      <w:pPr>
        <w:rPr>
          <w:lang w:val="nl-NL"/>
        </w:rPr>
      </w:pPr>
    </w:p>
    <w:p w14:paraId="67D94EEE" w14:textId="4827E03A" w:rsidR="00487427" w:rsidRPr="00487427" w:rsidRDefault="00487427">
      <w:pPr>
        <w:rPr>
          <w:i/>
          <w:iCs/>
          <w:lang w:val="nl-NL"/>
        </w:rPr>
      </w:pPr>
      <w:r w:rsidRPr="00487427">
        <w:rPr>
          <w:i/>
          <w:iCs/>
          <w:lang w:val="nl-NL"/>
        </w:rPr>
        <w:t>Energiesubsidie</w:t>
      </w:r>
    </w:p>
    <w:p w14:paraId="3CD1E01F" w14:textId="7071D7B7" w:rsidR="00487427" w:rsidRDefault="00487427">
      <w:pPr>
        <w:rPr>
          <w:lang w:val="nl-NL"/>
        </w:rPr>
      </w:pPr>
      <w:proofErr w:type="gramStart"/>
      <w:r>
        <w:rPr>
          <w:lang w:val="nl-NL"/>
        </w:rPr>
        <w:t>Indien</w:t>
      </w:r>
      <w:proofErr w:type="gramEnd"/>
      <w:r>
        <w:rPr>
          <w:lang w:val="nl-NL"/>
        </w:rPr>
        <w:t xml:space="preserve"> voor het gebruik van elektriciteit of waterstof een energiesubsidie wordt gegeven kan dit hier worden ingevuld.</w:t>
      </w:r>
    </w:p>
    <w:p w14:paraId="5A6D6D88" w14:textId="330FE388" w:rsidR="00AB0741" w:rsidRDefault="00AB0741">
      <w:pPr>
        <w:rPr>
          <w:lang w:val="nl-NL"/>
        </w:rPr>
      </w:pPr>
    </w:p>
    <w:p w14:paraId="48659961" w14:textId="77777777" w:rsidR="004C3AD3" w:rsidRDefault="004C3AD3">
      <w:pPr>
        <w:rPr>
          <w:i/>
          <w:iCs/>
          <w:lang w:val="nl-NL"/>
        </w:rPr>
      </w:pPr>
      <w:r>
        <w:rPr>
          <w:i/>
          <w:iCs/>
          <w:lang w:val="nl-NL"/>
        </w:rPr>
        <w:br w:type="page"/>
      </w:r>
    </w:p>
    <w:p w14:paraId="0398AC2E" w14:textId="3B33AC4B" w:rsidR="00AB0741" w:rsidRPr="00AB0741" w:rsidRDefault="00AB0741">
      <w:pPr>
        <w:rPr>
          <w:i/>
          <w:iCs/>
          <w:lang w:val="nl-NL"/>
        </w:rPr>
      </w:pPr>
      <w:bookmarkStart w:id="0" w:name="OpenAt"/>
      <w:bookmarkEnd w:id="0"/>
      <w:r w:rsidRPr="00AB0741">
        <w:rPr>
          <w:i/>
          <w:iCs/>
          <w:lang w:val="nl-NL"/>
        </w:rPr>
        <w:lastRenderedPageBreak/>
        <w:t>Herkomst energie</w:t>
      </w:r>
    </w:p>
    <w:p w14:paraId="37B93BC7" w14:textId="5F2688C3" w:rsidR="00AB0741" w:rsidRDefault="00AB0741">
      <w:pPr>
        <w:rPr>
          <w:lang w:val="nl-NL"/>
        </w:rPr>
      </w:pPr>
      <w:r>
        <w:rPr>
          <w:lang w:val="nl-NL"/>
        </w:rPr>
        <w:t xml:space="preserve">Hier moet de herkomst van de energie van elektriciteit (keuze uit groen of grijze elektriciteit) en waterstof (keuze uit grijs, blauw, elektrolyse) worden gegeven. Dit is van invloed op de cijfers gepresenteerd bij </w:t>
      </w:r>
      <w:r w:rsidRPr="00AB0741">
        <w:rPr>
          <w:i/>
          <w:iCs/>
          <w:u w:val="single"/>
          <w:lang w:val="nl-NL"/>
        </w:rPr>
        <w:t>DUURZAAMHEID</w:t>
      </w:r>
      <w:r>
        <w:rPr>
          <w:lang w:val="nl-NL"/>
        </w:rPr>
        <w:t>.</w:t>
      </w:r>
    </w:p>
    <w:p w14:paraId="30D72BD5" w14:textId="3E23E461" w:rsidR="00487427" w:rsidRDefault="00487427">
      <w:pPr>
        <w:rPr>
          <w:lang w:val="nl-NL"/>
        </w:rPr>
      </w:pPr>
    </w:p>
    <w:p w14:paraId="01FD27B9" w14:textId="3617B9C8" w:rsidR="00AB0741" w:rsidRDefault="00AB0741">
      <w:pPr>
        <w:rPr>
          <w:lang w:val="nl-NL"/>
        </w:rPr>
      </w:pPr>
      <w:r w:rsidRPr="00AB0741">
        <w:rPr>
          <w:i/>
          <w:iCs/>
          <w:u w:val="single"/>
          <w:lang w:val="nl-NL"/>
        </w:rPr>
        <w:t>DUURZAAMHEID</w:t>
      </w:r>
    </w:p>
    <w:p w14:paraId="58D3A6E1" w14:textId="77777777" w:rsidR="00AB0741" w:rsidRDefault="00AB0741">
      <w:pPr>
        <w:rPr>
          <w:lang w:val="nl-NL"/>
        </w:rPr>
      </w:pPr>
    </w:p>
    <w:p w14:paraId="58179322" w14:textId="01227760" w:rsidR="00AB0741" w:rsidRDefault="00AB0741">
      <w:pPr>
        <w:rPr>
          <w:lang w:val="nl-NL"/>
        </w:rPr>
      </w:pPr>
      <w:r>
        <w:rPr>
          <w:noProof/>
        </w:rPr>
        <w:drawing>
          <wp:inline distT="0" distB="0" distL="0" distR="0" wp14:anchorId="224A613D" wp14:editId="7FB3F700">
            <wp:extent cx="5756910" cy="1004570"/>
            <wp:effectExtent l="0" t="0" r="0" b="5080"/>
            <wp:docPr id="989363727"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363727" name="Picture 1" descr="Table&#10;&#10;Description automatically generated"/>
                    <pic:cNvPicPr/>
                  </pic:nvPicPr>
                  <pic:blipFill>
                    <a:blip r:embed="rId12"/>
                    <a:stretch>
                      <a:fillRect/>
                    </a:stretch>
                  </pic:blipFill>
                  <pic:spPr>
                    <a:xfrm>
                      <a:off x="0" y="0"/>
                      <a:ext cx="5756910" cy="1004570"/>
                    </a:xfrm>
                    <a:prstGeom prst="rect">
                      <a:avLst/>
                    </a:prstGeom>
                  </pic:spPr>
                </pic:pic>
              </a:graphicData>
            </a:graphic>
          </wp:inline>
        </w:drawing>
      </w:r>
    </w:p>
    <w:p w14:paraId="0C97F7CA" w14:textId="77777777" w:rsidR="00AB0741" w:rsidRDefault="00AB0741">
      <w:pPr>
        <w:rPr>
          <w:lang w:val="nl-NL"/>
        </w:rPr>
      </w:pPr>
    </w:p>
    <w:p w14:paraId="225D53AE" w14:textId="6E1AD70C" w:rsidR="00AB0741" w:rsidRPr="00AB0741" w:rsidRDefault="00AB0741">
      <w:pPr>
        <w:rPr>
          <w:i/>
          <w:iCs/>
          <w:lang w:val="nl-NL"/>
        </w:rPr>
      </w:pPr>
      <w:r w:rsidRPr="00AB0741">
        <w:rPr>
          <w:i/>
          <w:iCs/>
          <w:lang w:val="nl-NL"/>
        </w:rPr>
        <w:t>CO2-prijs</w:t>
      </w:r>
    </w:p>
    <w:p w14:paraId="16B8E2FE" w14:textId="7BEDF341" w:rsidR="00AB0741" w:rsidRDefault="00AB0741">
      <w:pPr>
        <w:rPr>
          <w:lang w:val="nl-NL"/>
        </w:rPr>
      </w:pPr>
      <w:r>
        <w:rPr>
          <w:lang w:val="nl-NL"/>
        </w:rPr>
        <w:t xml:space="preserve">Er kan een CO2-prijs worden ingevuld en er kan worden gekozen om die in de berekening mee te nemen. Hiermee worden de kosten van de uitstoot van CO2 ook meegenomen in de </w:t>
      </w:r>
      <w:proofErr w:type="gramStart"/>
      <w:r>
        <w:rPr>
          <w:lang w:val="nl-NL"/>
        </w:rPr>
        <w:t>TCO vergelijking</w:t>
      </w:r>
      <w:proofErr w:type="gramEnd"/>
      <w:r>
        <w:rPr>
          <w:lang w:val="nl-NL"/>
        </w:rPr>
        <w:t>.</w:t>
      </w:r>
    </w:p>
    <w:p w14:paraId="55700677" w14:textId="7452312F" w:rsidR="00AB0741" w:rsidRDefault="00AB0741">
      <w:pPr>
        <w:rPr>
          <w:lang w:val="nl-NL"/>
        </w:rPr>
      </w:pPr>
    </w:p>
    <w:p w14:paraId="1035C207" w14:textId="46F36CBD" w:rsidR="00AB0741" w:rsidRPr="009F05A2" w:rsidRDefault="00AB0741">
      <w:pPr>
        <w:rPr>
          <w:i/>
          <w:iCs/>
          <w:lang w:val="nl-NL"/>
        </w:rPr>
      </w:pPr>
      <w:proofErr w:type="spellStart"/>
      <w:r w:rsidRPr="009F05A2">
        <w:rPr>
          <w:i/>
          <w:iCs/>
          <w:lang w:val="nl-NL"/>
        </w:rPr>
        <w:t>HBE’s</w:t>
      </w:r>
      <w:proofErr w:type="spellEnd"/>
      <w:r w:rsidRPr="009F05A2">
        <w:rPr>
          <w:i/>
          <w:iCs/>
          <w:lang w:val="nl-NL"/>
        </w:rPr>
        <w:t xml:space="preserve"> toepassen</w:t>
      </w:r>
    </w:p>
    <w:p w14:paraId="5FAFA92E" w14:textId="0ACF2351" w:rsidR="00AB0741" w:rsidRDefault="00AB0741">
      <w:pPr>
        <w:rPr>
          <w:lang w:val="nl-NL"/>
        </w:rPr>
      </w:pPr>
      <w:r>
        <w:rPr>
          <w:lang w:val="nl-NL"/>
        </w:rPr>
        <w:t xml:space="preserve">In de berekening kunnen ook </w:t>
      </w:r>
      <w:proofErr w:type="spellStart"/>
      <w:r>
        <w:rPr>
          <w:lang w:val="nl-NL"/>
        </w:rPr>
        <w:t>HBE’s</w:t>
      </w:r>
      <w:proofErr w:type="spellEnd"/>
      <w:r>
        <w:rPr>
          <w:lang w:val="nl-NL"/>
        </w:rPr>
        <w:t xml:space="preserve"> worden meegenomen. </w:t>
      </w:r>
      <w:r w:rsidR="009F05A2">
        <w:rPr>
          <w:lang w:val="nl-NL"/>
        </w:rPr>
        <w:t xml:space="preserve">Touringcarbedrijven die fysiek hernieuwbare energie leveren aan vervoer (bijvoorbeeld doordat een touringcarondernemer zonnepanelen gebruikt om de touringcars op te laden) creëren hiermee </w:t>
      </w:r>
      <w:r>
        <w:rPr>
          <w:lang w:val="nl-NL"/>
        </w:rPr>
        <w:t>Hernieuwbare Brandsto</w:t>
      </w:r>
      <w:r w:rsidR="009F05A2">
        <w:rPr>
          <w:lang w:val="nl-NL"/>
        </w:rPr>
        <w:t>fe</w:t>
      </w:r>
      <w:r>
        <w:rPr>
          <w:lang w:val="nl-NL"/>
        </w:rPr>
        <w:t>enheden</w:t>
      </w:r>
      <w:r w:rsidR="009F05A2">
        <w:rPr>
          <w:lang w:val="nl-NL"/>
        </w:rPr>
        <w:t xml:space="preserve"> (</w:t>
      </w:r>
      <w:proofErr w:type="spellStart"/>
      <w:r w:rsidR="009F05A2">
        <w:rPr>
          <w:lang w:val="nl-NL"/>
        </w:rPr>
        <w:t>HBE’s</w:t>
      </w:r>
      <w:proofErr w:type="spellEnd"/>
      <w:r w:rsidR="009F05A2">
        <w:rPr>
          <w:lang w:val="nl-NL"/>
        </w:rPr>
        <w:t>)</w:t>
      </w:r>
      <w:r>
        <w:rPr>
          <w:lang w:val="nl-NL"/>
        </w:rPr>
        <w:t xml:space="preserve">. </w:t>
      </w:r>
      <w:r w:rsidR="009F05A2">
        <w:rPr>
          <w:lang w:val="nl-NL"/>
        </w:rPr>
        <w:t xml:space="preserve">Zij kunnen deze eenheden, die staan voor één </w:t>
      </w:r>
      <w:proofErr w:type="spellStart"/>
      <w:r w:rsidR="009F05A2">
        <w:rPr>
          <w:lang w:val="nl-NL"/>
        </w:rPr>
        <w:t>gigajoule</w:t>
      </w:r>
      <w:proofErr w:type="spellEnd"/>
      <w:r w:rsidR="009F05A2">
        <w:rPr>
          <w:lang w:val="nl-NL"/>
        </w:rPr>
        <w:t xml:space="preserve"> hernieuwbare energie, verhandelen aan bedrijven met een verplichting. Ze zijn dus geld waard.</w:t>
      </w:r>
    </w:p>
    <w:p w14:paraId="19307DAE" w14:textId="05163569" w:rsidR="00AB0741" w:rsidRDefault="00AB0741">
      <w:pPr>
        <w:rPr>
          <w:lang w:val="nl-NL"/>
        </w:rPr>
      </w:pPr>
    </w:p>
    <w:p w14:paraId="400BB857" w14:textId="26004C46" w:rsidR="009F05A2" w:rsidRPr="009F05A2" w:rsidRDefault="009F05A2">
      <w:pPr>
        <w:rPr>
          <w:i/>
          <w:iCs/>
          <w:lang w:val="nl-NL"/>
        </w:rPr>
      </w:pPr>
      <w:r w:rsidRPr="009F05A2">
        <w:rPr>
          <w:i/>
          <w:iCs/>
          <w:lang w:val="nl-NL"/>
        </w:rPr>
        <w:t>Waarde per HBE</w:t>
      </w:r>
    </w:p>
    <w:p w14:paraId="747ADF1C" w14:textId="26458328" w:rsidR="009F05A2" w:rsidRDefault="009F05A2">
      <w:pPr>
        <w:rPr>
          <w:lang w:val="nl-NL"/>
        </w:rPr>
      </w:pPr>
      <w:r>
        <w:rPr>
          <w:lang w:val="nl-NL"/>
        </w:rPr>
        <w:t xml:space="preserve">De waarde van een HBE is aan te passen. </w:t>
      </w:r>
      <w:proofErr w:type="spellStart"/>
      <w:r>
        <w:rPr>
          <w:lang w:val="nl-NL"/>
        </w:rPr>
        <w:t>Defaultwaarde</w:t>
      </w:r>
      <w:proofErr w:type="spellEnd"/>
      <w:r>
        <w:rPr>
          <w:lang w:val="nl-NL"/>
        </w:rPr>
        <w:t xml:space="preserve"> is </w:t>
      </w:r>
      <w:r>
        <w:rPr>
          <w:rFonts w:cstheme="minorHAnsi"/>
          <w:lang w:val="nl-NL"/>
        </w:rPr>
        <w:t>€</w:t>
      </w:r>
      <w:r>
        <w:rPr>
          <w:lang w:val="nl-NL"/>
        </w:rPr>
        <w:t>18,00.</w:t>
      </w:r>
    </w:p>
    <w:p w14:paraId="2B2D54AD" w14:textId="77777777" w:rsidR="009F05A2" w:rsidRPr="00AB089B" w:rsidRDefault="009F05A2">
      <w:pPr>
        <w:rPr>
          <w:lang w:val="nl-NL"/>
        </w:rPr>
      </w:pPr>
    </w:p>
    <w:p w14:paraId="598D6ED2" w14:textId="4FA5D844" w:rsidR="0038377C" w:rsidRDefault="009F05A2" w:rsidP="00AB4D48">
      <w:pPr>
        <w:rPr>
          <w:i/>
          <w:u w:val="single"/>
          <w:lang w:val="nl-NL"/>
        </w:rPr>
      </w:pPr>
      <w:r>
        <w:rPr>
          <w:i/>
          <w:u w:val="single"/>
          <w:lang w:val="nl-NL"/>
        </w:rPr>
        <w:t>RESULTATEN</w:t>
      </w:r>
    </w:p>
    <w:p w14:paraId="28667668" w14:textId="618E0B44" w:rsidR="009F05A2" w:rsidRPr="009F05A2" w:rsidRDefault="009F05A2" w:rsidP="00AB4D48">
      <w:pPr>
        <w:rPr>
          <w:iCs/>
          <w:lang w:val="nl-NL"/>
        </w:rPr>
      </w:pPr>
      <w:r>
        <w:rPr>
          <w:iCs/>
          <w:lang w:val="nl-NL"/>
        </w:rPr>
        <w:t xml:space="preserve">Als resultante van alle hierboven beschreven invoer worden de resultaten verkregen. Allereerst worden de belangrijkste resultaten in het deel </w:t>
      </w:r>
      <w:r w:rsidRPr="009F05A2">
        <w:rPr>
          <w:i/>
          <w:u w:val="single"/>
          <w:lang w:val="nl-NL"/>
        </w:rPr>
        <w:t>RESULTATEN</w:t>
      </w:r>
      <w:r>
        <w:rPr>
          <w:iCs/>
          <w:lang w:val="nl-NL"/>
        </w:rPr>
        <w:t xml:space="preserve"> getoond. Hier worden direct de kosten en emissie van dieselvoertuigen met de elektrische en waterstof voertuigen vergeleken.</w:t>
      </w:r>
    </w:p>
    <w:p w14:paraId="0C182AE9" w14:textId="77777777" w:rsidR="009F05A2" w:rsidRPr="00AB089B" w:rsidRDefault="009F05A2" w:rsidP="00AB4D48">
      <w:pPr>
        <w:rPr>
          <w:i/>
          <w:u w:val="single"/>
          <w:lang w:val="nl-NL"/>
        </w:rPr>
      </w:pPr>
    </w:p>
    <w:p w14:paraId="21E14D60" w14:textId="69EC5D48" w:rsidR="0038377C" w:rsidRPr="00AB089B" w:rsidRDefault="009F05A2" w:rsidP="00AB4D48">
      <w:pPr>
        <w:rPr>
          <w:lang w:val="nl-NL"/>
        </w:rPr>
      </w:pPr>
      <w:r>
        <w:rPr>
          <w:noProof/>
        </w:rPr>
        <w:drawing>
          <wp:inline distT="0" distB="0" distL="0" distR="0" wp14:anchorId="2BC37949" wp14:editId="40338A73">
            <wp:extent cx="5756910" cy="1608455"/>
            <wp:effectExtent l="0" t="0" r="0" b="0"/>
            <wp:docPr id="847285616"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285616" name="Picture 1" descr="Table&#10;&#10;Description automatically generated"/>
                    <pic:cNvPicPr/>
                  </pic:nvPicPr>
                  <pic:blipFill>
                    <a:blip r:embed="rId13"/>
                    <a:stretch>
                      <a:fillRect/>
                    </a:stretch>
                  </pic:blipFill>
                  <pic:spPr>
                    <a:xfrm>
                      <a:off x="0" y="0"/>
                      <a:ext cx="5756910" cy="1608455"/>
                    </a:xfrm>
                    <a:prstGeom prst="rect">
                      <a:avLst/>
                    </a:prstGeom>
                  </pic:spPr>
                </pic:pic>
              </a:graphicData>
            </a:graphic>
          </wp:inline>
        </w:drawing>
      </w:r>
    </w:p>
    <w:p w14:paraId="5B62229B" w14:textId="13DB9B69" w:rsidR="00AB4D48" w:rsidRDefault="00AB4D48">
      <w:pPr>
        <w:rPr>
          <w:lang w:val="nl-NL"/>
        </w:rPr>
      </w:pPr>
    </w:p>
    <w:p w14:paraId="3D22B3AD" w14:textId="77777777" w:rsidR="000B3082" w:rsidRDefault="000B3082">
      <w:pPr>
        <w:rPr>
          <w:i/>
          <w:u w:val="single"/>
          <w:lang w:val="nl-NL"/>
        </w:rPr>
      </w:pPr>
      <w:r>
        <w:rPr>
          <w:i/>
          <w:u w:val="single"/>
          <w:lang w:val="nl-NL"/>
        </w:rPr>
        <w:br w:type="page"/>
      </w:r>
    </w:p>
    <w:p w14:paraId="1F143788" w14:textId="35955676" w:rsidR="009F05A2" w:rsidRDefault="009F05A2" w:rsidP="009F05A2">
      <w:pPr>
        <w:rPr>
          <w:i/>
          <w:u w:val="single"/>
          <w:lang w:val="nl-NL"/>
        </w:rPr>
      </w:pPr>
      <w:r>
        <w:rPr>
          <w:i/>
          <w:u w:val="single"/>
          <w:lang w:val="nl-NL"/>
        </w:rPr>
        <w:lastRenderedPageBreak/>
        <w:t>ONDERBOUWING KOSTENBEREKENING</w:t>
      </w:r>
    </w:p>
    <w:p w14:paraId="7249B525" w14:textId="1AC7C7BA" w:rsidR="00563854" w:rsidRPr="00AB089B" w:rsidRDefault="00092BA2">
      <w:pPr>
        <w:rPr>
          <w:lang w:val="nl-NL"/>
        </w:rPr>
      </w:pPr>
      <w:r>
        <w:rPr>
          <w:lang w:val="nl-NL"/>
        </w:rPr>
        <w:t xml:space="preserve">Direct onder de </w:t>
      </w:r>
      <w:r w:rsidRPr="009F05A2">
        <w:rPr>
          <w:i/>
          <w:iCs/>
          <w:u w:val="single"/>
          <w:lang w:val="nl-NL"/>
        </w:rPr>
        <w:t>RESULTATEN</w:t>
      </w:r>
      <w:r>
        <w:rPr>
          <w:lang w:val="nl-NL"/>
        </w:rPr>
        <w:t xml:space="preserve"> volgt een gedetailleerd overzicht van de uitgevoerde berekeningen en de gebruikte basisdata in de </w:t>
      </w:r>
      <w:r w:rsidRPr="009F05A2">
        <w:rPr>
          <w:i/>
          <w:iCs/>
          <w:u w:val="single"/>
          <w:lang w:val="nl-NL"/>
        </w:rPr>
        <w:t>ONDERBOUWING KOSTENBEREKENING</w:t>
      </w:r>
      <w:r>
        <w:rPr>
          <w:lang w:val="nl-NL"/>
        </w:rPr>
        <w:t>.</w:t>
      </w:r>
    </w:p>
    <w:p w14:paraId="10B72EE7" w14:textId="6350C85C" w:rsidR="00563854" w:rsidRDefault="00563854">
      <w:pPr>
        <w:rPr>
          <w:b/>
          <w:bCs/>
          <w:u w:val="single"/>
          <w:lang w:val="nl-NL"/>
        </w:rPr>
      </w:pPr>
    </w:p>
    <w:p w14:paraId="2D23578D" w14:textId="273FB35D" w:rsidR="009F05A2" w:rsidRDefault="000B3082">
      <w:pPr>
        <w:rPr>
          <w:b/>
          <w:bCs/>
          <w:u w:val="single"/>
          <w:lang w:val="nl-NL"/>
        </w:rPr>
      </w:pPr>
      <w:r>
        <w:rPr>
          <w:noProof/>
        </w:rPr>
        <w:drawing>
          <wp:inline distT="0" distB="0" distL="0" distR="0" wp14:anchorId="51D0CC51" wp14:editId="62320FCF">
            <wp:extent cx="5756910" cy="3169285"/>
            <wp:effectExtent l="0" t="0" r="0" b="0"/>
            <wp:docPr id="1011627903"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27903" name="Picture 1" descr="Table&#10;&#10;Description automatically generated"/>
                    <pic:cNvPicPr/>
                  </pic:nvPicPr>
                  <pic:blipFill>
                    <a:blip r:embed="rId14"/>
                    <a:stretch>
                      <a:fillRect/>
                    </a:stretch>
                  </pic:blipFill>
                  <pic:spPr>
                    <a:xfrm>
                      <a:off x="0" y="0"/>
                      <a:ext cx="5756910" cy="3169285"/>
                    </a:xfrm>
                    <a:prstGeom prst="rect">
                      <a:avLst/>
                    </a:prstGeom>
                  </pic:spPr>
                </pic:pic>
              </a:graphicData>
            </a:graphic>
          </wp:inline>
        </w:drawing>
      </w:r>
    </w:p>
    <w:p w14:paraId="6C611433" w14:textId="308FF1B5" w:rsidR="009F05A2" w:rsidRDefault="009F05A2">
      <w:pPr>
        <w:rPr>
          <w:b/>
          <w:bCs/>
          <w:u w:val="single"/>
          <w:lang w:val="nl-NL"/>
        </w:rPr>
      </w:pPr>
    </w:p>
    <w:p w14:paraId="56C335A7" w14:textId="70295764" w:rsidR="000B3082" w:rsidRPr="00AB089B" w:rsidRDefault="000B3082" w:rsidP="000B3082">
      <w:pPr>
        <w:rPr>
          <w:b/>
          <w:u w:val="single"/>
          <w:lang w:val="nl-NL"/>
        </w:rPr>
      </w:pPr>
      <w:r>
        <w:rPr>
          <w:b/>
          <w:u w:val="single"/>
          <w:lang w:val="nl-NL"/>
        </w:rPr>
        <w:t>Overige tabbladen</w:t>
      </w:r>
    </w:p>
    <w:p w14:paraId="1D388B9E" w14:textId="1469B393" w:rsidR="000B3082" w:rsidRDefault="000B3082">
      <w:pPr>
        <w:rPr>
          <w:lang w:val="nl-NL"/>
        </w:rPr>
      </w:pPr>
      <w:r w:rsidRPr="000B3082">
        <w:rPr>
          <w:lang w:val="nl-NL"/>
        </w:rPr>
        <w:t xml:space="preserve">Naast </w:t>
      </w:r>
      <w:r>
        <w:rPr>
          <w:lang w:val="nl-NL"/>
        </w:rPr>
        <w:t>de uitgebreid beschreven tabblad ‘Input-Output Module’ zijn er nog de volgende tabbladen in het TCO-model Touringcar:</w:t>
      </w:r>
    </w:p>
    <w:p w14:paraId="361ACEFE" w14:textId="77B95778" w:rsidR="000B3082" w:rsidRPr="000B3082" w:rsidRDefault="000B3082" w:rsidP="000B3082">
      <w:pPr>
        <w:pStyle w:val="ListParagraph"/>
        <w:numPr>
          <w:ilvl w:val="0"/>
          <w:numId w:val="5"/>
        </w:numPr>
        <w:rPr>
          <w:lang w:val="nl-NL"/>
        </w:rPr>
      </w:pPr>
      <w:r>
        <w:rPr>
          <w:lang w:val="nl-NL"/>
        </w:rPr>
        <w:t>‘</w:t>
      </w:r>
      <w:r w:rsidRPr="000B3082">
        <w:rPr>
          <w:lang w:val="nl-NL"/>
        </w:rPr>
        <w:t>Read me</w:t>
      </w:r>
      <w:r>
        <w:rPr>
          <w:lang w:val="nl-NL"/>
        </w:rPr>
        <w:t>’: een korte instructie hoe met het model om te gaan</w:t>
      </w:r>
    </w:p>
    <w:p w14:paraId="55D2A63F" w14:textId="33D81174" w:rsidR="000B3082" w:rsidRPr="000B3082" w:rsidRDefault="000B3082" w:rsidP="000B3082">
      <w:pPr>
        <w:pStyle w:val="ListParagraph"/>
        <w:numPr>
          <w:ilvl w:val="0"/>
          <w:numId w:val="5"/>
        </w:numPr>
        <w:rPr>
          <w:lang w:val="nl-NL"/>
        </w:rPr>
      </w:pPr>
      <w:r>
        <w:rPr>
          <w:lang w:val="nl-NL"/>
        </w:rPr>
        <w:t>‘</w:t>
      </w:r>
      <w:r w:rsidRPr="000B3082">
        <w:rPr>
          <w:lang w:val="nl-NL"/>
        </w:rPr>
        <w:t>Invoervelden</w:t>
      </w:r>
      <w:r>
        <w:rPr>
          <w:lang w:val="nl-NL"/>
        </w:rPr>
        <w:t>’: benodigd voor de tekstboxjes in ‘Input-Output Module’</w:t>
      </w:r>
    </w:p>
    <w:p w14:paraId="30213234" w14:textId="00C4027D" w:rsidR="000B3082" w:rsidRPr="000B3082" w:rsidRDefault="000B3082" w:rsidP="000B3082">
      <w:pPr>
        <w:pStyle w:val="ListParagraph"/>
        <w:numPr>
          <w:ilvl w:val="0"/>
          <w:numId w:val="5"/>
        </w:numPr>
        <w:rPr>
          <w:lang w:val="nl-NL"/>
        </w:rPr>
      </w:pPr>
      <w:r>
        <w:rPr>
          <w:lang w:val="nl-NL"/>
        </w:rPr>
        <w:t>‘</w:t>
      </w:r>
      <w:r w:rsidRPr="000B3082">
        <w:rPr>
          <w:lang w:val="nl-NL"/>
        </w:rPr>
        <w:t>Calculatie</w:t>
      </w:r>
      <w:r>
        <w:rPr>
          <w:lang w:val="nl-NL"/>
        </w:rPr>
        <w:t>’: de achtergrondberekeningen</w:t>
      </w:r>
    </w:p>
    <w:p w14:paraId="3A82EBD6" w14:textId="6A1CD2F4" w:rsidR="000B3082" w:rsidRPr="000B3082" w:rsidRDefault="000B3082" w:rsidP="000B3082">
      <w:pPr>
        <w:pStyle w:val="ListParagraph"/>
        <w:numPr>
          <w:ilvl w:val="0"/>
          <w:numId w:val="5"/>
        </w:numPr>
        <w:rPr>
          <w:lang w:val="nl-NL"/>
        </w:rPr>
      </w:pPr>
      <w:r>
        <w:rPr>
          <w:lang w:val="nl-NL"/>
        </w:rPr>
        <w:t>‘</w:t>
      </w:r>
      <w:r w:rsidRPr="000B3082">
        <w:rPr>
          <w:lang w:val="nl-NL"/>
        </w:rPr>
        <w:t>Cat</w:t>
      </w:r>
      <w:r w:rsidR="000466FD">
        <w:rPr>
          <w:lang w:val="nl-NL"/>
        </w:rPr>
        <w:t>al</w:t>
      </w:r>
      <w:r w:rsidRPr="000B3082">
        <w:rPr>
          <w:lang w:val="nl-NL"/>
        </w:rPr>
        <w:t>ogus</w:t>
      </w:r>
      <w:r>
        <w:rPr>
          <w:lang w:val="nl-NL"/>
        </w:rPr>
        <w:t xml:space="preserve">’: basisdata voor de </w:t>
      </w:r>
      <w:proofErr w:type="spellStart"/>
      <w:r>
        <w:rPr>
          <w:lang w:val="nl-NL"/>
        </w:rPr>
        <w:t>defaultwaardes</w:t>
      </w:r>
      <w:proofErr w:type="spellEnd"/>
    </w:p>
    <w:p w14:paraId="7248DD1A" w14:textId="526C0DB1" w:rsidR="000B3082" w:rsidRPr="000B3082" w:rsidRDefault="000B3082" w:rsidP="000B3082">
      <w:pPr>
        <w:pStyle w:val="ListParagraph"/>
        <w:numPr>
          <w:ilvl w:val="0"/>
          <w:numId w:val="5"/>
        </w:numPr>
        <w:rPr>
          <w:lang w:val="nl-NL"/>
        </w:rPr>
      </w:pPr>
      <w:r>
        <w:rPr>
          <w:lang w:val="nl-NL"/>
        </w:rPr>
        <w:t>‘</w:t>
      </w:r>
      <w:r w:rsidRPr="000B3082">
        <w:rPr>
          <w:lang w:val="nl-NL"/>
        </w:rPr>
        <w:t>M1-PowerSupply</w:t>
      </w:r>
      <w:r>
        <w:rPr>
          <w:lang w:val="nl-NL"/>
        </w:rPr>
        <w:t>’: berekeningen en basisdata voor energie</w:t>
      </w:r>
    </w:p>
    <w:p w14:paraId="5C41418C" w14:textId="3B0BF3D1" w:rsidR="000B3082" w:rsidRPr="000B3082" w:rsidRDefault="000B3082" w:rsidP="000B3082">
      <w:pPr>
        <w:pStyle w:val="ListParagraph"/>
        <w:numPr>
          <w:ilvl w:val="0"/>
          <w:numId w:val="5"/>
        </w:numPr>
        <w:rPr>
          <w:lang w:val="nl-NL"/>
        </w:rPr>
      </w:pPr>
      <w:r>
        <w:rPr>
          <w:lang w:val="nl-NL"/>
        </w:rPr>
        <w:t>‘</w:t>
      </w:r>
      <w:r w:rsidRPr="000B3082">
        <w:rPr>
          <w:lang w:val="nl-NL"/>
        </w:rPr>
        <w:t>M2-Subsidie</w:t>
      </w:r>
      <w:r>
        <w:rPr>
          <w:lang w:val="nl-NL"/>
        </w:rPr>
        <w:t>’: berekeningen en basisdata voor subsidies</w:t>
      </w:r>
    </w:p>
    <w:p w14:paraId="6F984BF4" w14:textId="23940D2A" w:rsidR="000B3082" w:rsidRPr="000B3082" w:rsidRDefault="000B3082" w:rsidP="000B3082">
      <w:pPr>
        <w:pStyle w:val="ListParagraph"/>
        <w:numPr>
          <w:ilvl w:val="0"/>
          <w:numId w:val="5"/>
        </w:numPr>
        <w:rPr>
          <w:lang w:val="nl-NL"/>
        </w:rPr>
      </w:pPr>
      <w:r>
        <w:rPr>
          <w:lang w:val="nl-NL"/>
        </w:rPr>
        <w:t>‘</w:t>
      </w:r>
      <w:r w:rsidRPr="000B3082">
        <w:rPr>
          <w:lang w:val="nl-NL"/>
        </w:rPr>
        <w:t>Parameters</w:t>
      </w:r>
      <w:r>
        <w:rPr>
          <w:lang w:val="nl-NL"/>
        </w:rPr>
        <w:t>’: alle parameters op een rij</w:t>
      </w:r>
    </w:p>
    <w:p w14:paraId="29275C59" w14:textId="0223CE93" w:rsidR="000B3082" w:rsidRPr="000B3082" w:rsidRDefault="000B3082" w:rsidP="000B3082">
      <w:pPr>
        <w:pStyle w:val="ListParagraph"/>
        <w:numPr>
          <w:ilvl w:val="0"/>
          <w:numId w:val="5"/>
        </w:numPr>
        <w:rPr>
          <w:lang w:val="nl-NL"/>
        </w:rPr>
      </w:pPr>
      <w:r>
        <w:rPr>
          <w:lang w:val="nl-NL"/>
        </w:rPr>
        <w:t>‘</w:t>
      </w:r>
      <w:r w:rsidRPr="000B3082">
        <w:rPr>
          <w:lang w:val="nl-NL"/>
        </w:rPr>
        <w:t>Indexatie</w:t>
      </w:r>
      <w:r>
        <w:rPr>
          <w:lang w:val="nl-NL"/>
        </w:rPr>
        <w:t>’: om jaarlijks de basisdata te indexeren</w:t>
      </w:r>
    </w:p>
    <w:p w14:paraId="16F3AAFA" w14:textId="1606DA3C" w:rsidR="000B3082" w:rsidRPr="000B3082" w:rsidRDefault="000B3082" w:rsidP="000B3082">
      <w:pPr>
        <w:pStyle w:val="ListParagraph"/>
        <w:numPr>
          <w:ilvl w:val="0"/>
          <w:numId w:val="5"/>
        </w:numPr>
        <w:rPr>
          <w:lang w:val="nl-NL"/>
        </w:rPr>
      </w:pPr>
      <w:r>
        <w:rPr>
          <w:lang w:val="nl-NL"/>
        </w:rPr>
        <w:t>‘</w:t>
      </w:r>
      <w:proofErr w:type="spellStart"/>
      <w:r w:rsidRPr="000B3082">
        <w:rPr>
          <w:lang w:val="nl-NL"/>
        </w:rPr>
        <w:t>Config</w:t>
      </w:r>
      <w:proofErr w:type="spellEnd"/>
      <w:r>
        <w:rPr>
          <w:lang w:val="nl-NL"/>
        </w:rPr>
        <w:t>’: voor de keuzevelden</w:t>
      </w:r>
    </w:p>
    <w:p w14:paraId="630421C2" w14:textId="4322D212" w:rsidR="000B3082" w:rsidRDefault="000B3082">
      <w:pPr>
        <w:rPr>
          <w:lang w:val="nl-NL"/>
        </w:rPr>
      </w:pPr>
    </w:p>
    <w:p w14:paraId="29E1DE06" w14:textId="0A0C40FB" w:rsidR="000B3082" w:rsidRDefault="000B3082">
      <w:pPr>
        <w:rPr>
          <w:lang w:val="nl-NL"/>
        </w:rPr>
      </w:pPr>
      <w:r>
        <w:rPr>
          <w:lang w:val="nl-NL"/>
        </w:rPr>
        <w:t>Voor transparantie in het model zijn deze tabbladen opgenomen zodat de achtergrondberekeningen zijn te bekijken. Voor het gebruik van het model zijn deze andere tabbladen niet noodzakelijk.</w:t>
      </w:r>
    </w:p>
    <w:p w14:paraId="1CBE1470" w14:textId="77777777" w:rsidR="000B3082" w:rsidRPr="000B3082" w:rsidRDefault="000B3082">
      <w:pPr>
        <w:rPr>
          <w:lang w:val="nl-NL"/>
        </w:rPr>
      </w:pPr>
    </w:p>
    <w:p w14:paraId="0B83319F" w14:textId="59DAFF94" w:rsidR="006E467E" w:rsidRPr="00AB089B" w:rsidRDefault="006E467E">
      <w:pPr>
        <w:rPr>
          <w:b/>
          <w:u w:val="single"/>
          <w:lang w:val="nl-NL"/>
        </w:rPr>
      </w:pPr>
      <w:r w:rsidRPr="00AB089B">
        <w:rPr>
          <w:b/>
          <w:u w:val="single"/>
          <w:lang w:val="nl-NL"/>
        </w:rPr>
        <w:t>Disclaimer:</w:t>
      </w:r>
    </w:p>
    <w:p w14:paraId="5C1724C7" w14:textId="1EC893C3" w:rsidR="000B3082" w:rsidRDefault="000B3082">
      <w:pPr>
        <w:rPr>
          <w:lang w:val="nl-NL"/>
        </w:rPr>
      </w:pPr>
      <w:r>
        <w:rPr>
          <w:lang w:val="nl-NL"/>
        </w:rPr>
        <w:t>Ho</w:t>
      </w:r>
      <w:r w:rsidRPr="00D26547">
        <w:rPr>
          <w:lang w:val="nl-NL"/>
        </w:rPr>
        <w:t>ewel veel zorg is besteed aan de correctheid van de rekenregels en de gebruikte inputdata</w:t>
      </w:r>
      <w:r>
        <w:rPr>
          <w:lang w:val="nl-NL"/>
        </w:rPr>
        <w:t xml:space="preserve"> c.q. </w:t>
      </w:r>
      <w:proofErr w:type="spellStart"/>
      <w:r>
        <w:rPr>
          <w:lang w:val="nl-NL"/>
        </w:rPr>
        <w:t>defaultwaarden</w:t>
      </w:r>
      <w:proofErr w:type="spellEnd"/>
      <w:r w:rsidRPr="00D26547">
        <w:rPr>
          <w:lang w:val="nl-NL"/>
        </w:rPr>
        <w:t xml:space="preserve">, is Panteia of </w:t>
      </w:r>
      <w:r>
        <w:rPr>
          <w:lang w:val="nl-NL"/>
        </w:rPr>
        <w:t>het Ministerie van Infrastructuur &amp; Waterstaat</w:t>
      </w:r>
      <w:r w:rsidRPr="00D26547">
        <w:rPr>
          <w:lang w:val="nl-NL"/>
        </w:rPr>
        <w:t xml:space="preserve"> niet aansprakelijk te houden voor de juistheid van de rekenresultaten.</w:t>
      </w:r>
    </w:p>
    <w:sectPr w:rsidR="000B3082" w:rsidSect="001B6ADD">
      <w:headerReference w:type="default"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8EDA8" w14:textId="77777777" w:rsidR="00A82509" w:rsidRDefault="00A82509" w:rsidP="00A82509">
      <w:r>
        <w:separator/>
      </w:r>
    </w:p>
  </w:endnote>
  <w:endnote w:type="continuationSeparator" w:id="0">
    <w:p w14:paraId="1F707E95" w14:textId="77777777" w:rsidR="00A82509" w:rsidRDefault="00A82509" w:rsidP="00A8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555924"/>
      <w:docPartObj>
        <w:docPartGallery w:val="Page Numbers (Bottom of Page)"/>
        <w:docPartUnique/>
      </w:docPartObj>
    </w:sdtPr>
    <w:sdtEndPr>
      <w:rPr>
        <w:noProof/>
      </w:rPr>
    </w:sdtEndPr>
    <w:sdtContent>
      <w:p w14:paraId="436E446E" w14:textId="63FC9D5E" w:rsidR="00FB6717" w:rsidRDefault="00FB6717">
        <w:pPr>
          <w:pStyle w:val="Footer"/>
          <w:jc w:val="right"/>
        </w:pPr>
        <w:r>
          <w:fldChar w:fldCharType="begin"/>
        </w:r>
        <w:r>
          <w:instrText xml:space="preserve"> PAGE   \* MERGEFORMAT </w:instrText>
        </w:r>
        <w:r>
          <w:fldChar w:fldCharType="separate"/>
        </w:r>
        <w:r w:rsidR="008845CA">
          <w:rPr>
            <w:noProof/>
          </w:rPr>
          <w:t>1</w:t>
        </w:r>
        <w:r>
          <w:rPr>
            <w:noProof/>
          </w:rPr>
          <w:fldChar w:fldCharType="end"/>
        </w:r>
      </w:p>
    </w:sdtContent>
  </w:sdt>
  <w:p w14:paraId="6CA13A45" w14:textId="77777777" w:rsidR="00FB6717" w:rsidRDefault="00FB6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B4B48" w14:textId="77777777" w:rsidR="00A82509" w:rsidRDefault="00A82509" w:rsidP="00A82509">
      <w:r>
        <w:separator/>
      </w:r>
    </w:p>
  </w:footnote>
  <w:footnote w:type="continuationSeparator" w:id="0">
    <w:p w14:paraId="304EC42A" w14:textId="77777777" w:rsidR="00A82509" w:rsidRDefault="00A82509" w:rsidP="00A82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F0CB" w14:textId="70EB7DC2" w:rsidR="00A82509" w:rsidRDefault="009C045D">
    <w:pPr>
      <w:pStyle w:val="Header"/>
    </w:pPr>
    <w:r>
      <w:rPr>
        <w:noProof/>
      </w:rPr>
      <w:drawing>
        <wp:anchor distT="0" distB="0" distL="114300" distR="114300" simplePos="0" relativeHeight="251658240" behindDoc="0" locked="0" layoutInCell="1" allowOverlap="1" wp14:anchorId="154468BA" wp14:editId="3CB4804A">
          <wp:simplePos x="0" y="0"/>
          <wp:positionH relativeFrom="margin">
            <wp:align>right</wp:align>
          </wp:positionH>
          <wp:positionV relativeFrom="paragraph">
            <wp:posOffset>-104787</wp:posOffset>
          </wp:positionV>
          <wp:extent cx="1173193" cy="534058"/>
          <wp:effectExtent l="0" t="0" r="8255" b="0"/>
          <wp:wrapSquare wrapText="bothSides"/>
          <wp:docPr id="954159663" name="Picture 95415966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504847"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73193" cy="534058"/>
                  </a:xfrm>
                  <a:prstGeom prst="rect">
                    <a:avLst/>
                  </a:prstGeom>
                </pic:spPr>
              </pic:pic>
            </a:graphicData>
          </a:graphic>
        </wp:anchor>
      </w:drawing>
    </w:r>
    <w:r w:rsidR="00A82509" w:rsidRPr="00A82509">
      <w:rPr>
        <w:noProof/>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D3A6D"/>
    <w:multiLevelType w:val="hybridMultilevel"/>
    <w:tmpl w:val="545CAD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3D3B76"/>
    <w:multiLevelType w:val="hybridMultilevel"/>
    <w:tmpl w:val="DBDC0A0C"/>
    <w:lvl w:ilvl="0" w:tplc="6B5C0D96">
      <w:numFmt w:val="bullet"/>
      <w:lvlText w:val="-"/>
      <w:lvlJc w:val="left"/>
      <w:pPr>
        <w:ind w:left="360" w:hanging="360"/>
      </w:pPr>
      <w:rPr>
        <w:rFonts w:ascii="Calibri" w:eastAsiaTheme="minorHAnsi" w:hAnsi="Calibri" w:cs="Calibri" w:hint="default"/>
        <w:i/>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D228B5"/>
    <w:multiLevelType w:val="hybridMultilevel"/>
    <w:tmpl w:val="A85E9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FA847E8"/>
    <w:multiLevelType w:val="hybridMultilevel"/>
    <w:tmpl w:val="92A89B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19A18C9"/>
    <w:multiLevelType w:val="hybridMultilevel"/>
    <w:tmpl w:val="B082F760"/>
    <w:lvl w:ilvl="0" w:tplc="6B5C0D96">
      <w:numFmt w:val="bullet"/>
      <w:lvlText w:val="-"/>
      <w:lvlJc w:val="left"/>
      <w:pPr>
        <w:ind w:left="360" w:hanging="360"/>
      </w:pPr>
      <w:rPr>
        <w:rFonts w:ascii="Calibri" w:eastAsiaTheme="minorHAnsi" w:hAnsi="Calibri" w:cs="Calibri" w:hint="default"/>
        <w:i/>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083717863">
    <w:abstractNumId w:val="2"/>
  </w:num>
  <w:num w:numId="2" w16cid:durableId="291835213">
    <w:abstractNumId w:val="4"/>
  </w:num>
  <w:num w:numId="3" w16cid:durableId="2131120190">
    <w:abstractNumId w:val="1"/>
  </w:num>
  <w:num w:numId="4" w16cid:durableId="1974093760">
    <w:abstractNumId w:val="3"/>
  </w:num>
  <w:num w:numId="5" w16cid:durableId="548995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5EC"/>
    <w:rsid w:val="00012E1D"/>
    <w:rsid w:val="000466FD"/>
    <w:rsid w:val="0005530E"/>
    <w:rsid w:val="00092BA2"/>
    <w:rsid w:val="000A22B6"/>
    <w:rsid w:val="000B3082"/>
    <w:rsid w:val="000F71F9"/>
    <w:rsid w:val="0016610D"/>
    <w:rsid w:val="001B6ADD"/>
    <w:rsid w:val="0020082E"/>
    <w:rsid w:val="002040E1"/>
    <w:rsid w:val="00250D46"/>
    <w:rsid w:val="0028363C"/>
    <w:rsid w:val="00294170"/>
    <w:rsid w:val="002B4470"/>
    <w:rsid w:val="002D571E"/>
    <w:rsid w:val="002D680B"/>
    <w:rsid w:val="002E3650"/>
    <w:rsid w:val="0032377F"/>
    <w:rsid w:val="0035115D"/>
    <w:rsid w:val="00352057"/>
    <w:rsid w:val="0035260A"/>
    <w:rsid w:val="0035777E"/>
    <w:rsid w:val="0038377C"/>
    <w:rsid w:val="003850BE"/>
    <w:rsid w:val="003B004B"/>
    <w:rsid w:val="003D1F77"/>
    <w:rsid w:val="00401CBB"/>
    <w:rsid w:val="00487427"/>
    <w:rsid w:val="004C3AD3"/>
    <w:rsid w:val="004C45C9"/>
    <w:rsid w:val="004C4F28"/>
    <w:rsid w:val="00502891"/>
    <w:rsid w:val="005364C8"/>
    <w:rsid w:val="00541702"/>
    <w:rsid w:val="005512F7"/>
    <w:rsid w:val="00560651"/>
    <w:rsid w:val="00563854"/>
    <w:rsid w:val="00571AAD"/>
    <w:rsid w:val="005A492B"/>
    <w:rsid w:val="005A57C6"/>
    <w:rsid w:val="00632C56"/>
    <w:rsid w:val="006428AF"/>
    <w:rsid w:val="006A59BA"/>
    <w:rsid w:val="006B7B41"/>
    <w:rsid w:val="006E467E"/>
    <w:rsid w:val="006E5C51"/>
    <w:rsid w:val="007050CD"/>
    <w:rsid w:val="00753FFB"/>
    <w:rsid w:val="00764AE6"/>
    <w:rsid w:val="0077547C"/>
    <w:rsid w:val="007A1317"/>
    <w:rsid w:val="007A4BA9"/>
    <w:rsid w:val="007C0B57"/>
    <w:rsid w:val="007C2042"/>
    <w:rsid w:val="007C7B54"/>
    <w:rsid w:val="007E1C01"/>
    <w:rsid w:val="008845CA"/>
    <w:rsid w:val="00892985"/>
    <w:rsid w:val="008F44D0"/>
    <w:rsid w:val="009031BB"/>
    <w:rsid w:val="00931B59"/>
    <w:rsid w:val="00935458"/>
    <w:rsid w:val="009A724E"/>
    <w:rsid w:val="009C045D"/>
    <w:rsid w:val="009D3B82"/>
    <w:rsid w:val="009F05A2"/>
    <w:rsid w:val="00A254E4"/>
    <w:rsid w:val="00A56B97"/>
    <w:rsid w:val="00A82509"/>
    <w:rsid w:val="00A948B6"/>
    <w:rsid w:val="00AA7184"/>
    <w:rsid w:val="00AB0741"/>
    <w:rsid w:val="00AB089B"/>
    <w:rsid w:val="00AB4D48"/>
    <w:rsid w:val="00AF5466"/>
    <w:rsid w:val="00B04551"/>
    <w:rsid w:val="00B272B1"/>
    <w:rsid w:val="00B3281D"/>
    <w:rsid w:val="00B67463"/>
    <w:rsid w:val="00B853B3"/>
    <w:rsid w:val="00BA0219"/>
    <w:rsid w:val="00BC4290"/>
    <w:rsid w:val="00BC6365"/>
    <w:rsid w:val="00BF0598"/>
    <w:rsid w:val="00C12E08"/>
    <w:rsid w:val="00C87F0C"/>
    <w:rsid w:val="00C90640"/>
    <w:rsid w:val="00C93D34"/>
    <w:rsid w:val="00CA391B"/>
    <w:rsid w:val="00CE00A5"/>
    <w:rsid w:val="00D1653F"/>
    <w:rsid w:val="00D26547"/>
    <w:rsid w:val="00DD02C2"/>
    <w:rsid w:val="00DD6E86"/>
    <w:rsid w:val="00E36797"/>
    <w:rsid w:val="00E40E90"/>
    <w:rsid w:val="00E74D29"/>
    <w:rsid w:val="00E7748C"/>
    <w:rsid w:val="00EC4090"/>
    <w:rsid w:val="00ED39A6"/>
    <w:rsid w:val="00F305EC"/>
    <w:rsid w:val="00F42233"/>
    <w:rsid w:val="00F55FF8"/>
    <w:rsid w:val="00F95DB5"/>
    <w:rsid w:val="00F9763A"/>
    <w:rsid w:val="00FB6717"/>
    <w:rsid w:val="00FC63E6"/>
    <w:rsid w:val="00FF64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2FA5D7"/>
  <w15:chartTrackingRefBased/>
  <w15:docId w15:val="{CF648D9C-C478-994D-BCB4-E841B419A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5C51"/>
    <w:rPr>
      <w:sz w:val="16"/>
      <w:szCs w:val="16"/>
    </w:rPr>
  </w:style>
  <w:style w:type="paragraph" w:styleId="CommentText">
    <w:name w:val="annotation text"/>
    <w:basedOn w:val="Normal"/>
    <w:link w:val="CommentTextChar"/>
    <w:uiPriority w:val="99"/>
    <w:semiHidden/>
    <w:unhideWhenUsed/>
    <w:rsid w:val="006E5C51"/>
    <w:rPr>
      <w:sz w:val="20"/>
      <w:szCs w:val="20"/>
    </w:rPr>
  </w:style>
  <w:style w:type="character" w:customStyle="1" w:styleId="CommentTextChar">
    <w:name w:val="Comment Text Char"/>
    <w:basedOn w:val="DefaultParagraphFont"/>
    <w:link w:val="CommentText"/>
    <w:uiPriority w:val="99"/>
    <w:semiHidden/>
    <w:rsid w:val="006E5C51"/>
    <w:rPr>
      <w:sz w:val="20"/>
      <w:szCs w:val="20"/>
      <w:lang w:val="en-GB"/>
    </w:rPr>
  </w:style>
  <w:style w:type="paragraph" w:styleId="CommentSubject">
    <w:name w:val="annotation subject"/>
    <w:basedOn w:val="CommentText"/>
    <w:next w:val="CommentText"/>
    <w:link w:val="CommentSubjectChar"/>
    <w:uiPriority w:val="99"/>
    <w:semiHidden/>
    <w:unhideWhenUsed/>
    <w:rsid w:val="006E5C51"/>
    <w:rPr>
      <w:b/>
      <w:bCs/>
    </w:rPr>
  </w:style>
  <w:style w:type="character" w:customStyle="1" w:styleId="CommentSubjectChar">
    <w:name w:val="Comment Subject Char"/>
    <w:basedOn w:val="CommentTextChar"/>
    <w:link w:val="CommentSubject"/>
    <w:uiPriority w:val="99"/>
    <w:semiHidden/>
    <w:rsid w:val="006E5C51"/>
    <w:rPr>
      <w:b/>
      <w:bCs/>
      <w:sz w:val="20"/>
      <w:szCs w:val="20"/>
      <w:lang w:val="en-GB"/>
    </w:rPr>
  </w:style>
  <w:style w:type="paragraph" w:styleId="BalloonText">
    <w:name w:val="Balloon Text"/>
    <w:basedOn w:val="Normal"/>
    <w:link w:val="BalloonTextChar"/>
    <w:uiPriority w:val="99"/>
    <w:semiHidden/>
    <w:unhideWhenUsed/>
    <w:rsid w:val="006E5C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C51"/>
    <w:rPr>
      <w:rFonts w:ascii="Segoe UI" w:hAnsi="Segoe UI" w:cs="Segoe UI"/>
      <w:sz w:val="18"/>
      <w:szCs w:val="18"/>
      <w:lang w:val="en-GB"/>
    </w:rPr>
  </w:style>
  <w:style w:type="paragraph" w:styleId="ListParagraph">
    <w:name w:val="List Paragraph"/>
    <w:basedOn w:val="Normal"/>
    <w:uiPriority w:val="34"/>
    <w:qFormat/>
    <w:rsid w:val="00F55FF8"/>
    <w:pPr>
      <w:ind w:left="720"/>
      <w:contextualSpacing/>
    </w:pPr>
  </w:style>
  <w:style w:type="paragraph" w:styleId="Header">
    <w:name w:val="header"/>
    <w:basedOn w:val="Normal"/>
    <w:link w:val="HeaderChar"/>
    <w:uiPriority w:val="99"/>
    <w:unhideWhenUsed/>
    <w:rsid w:val="00A82509"/>
    <w:pPr>
      <w:tabs>
        <w:tab w:val="center" w:pos="4536"/>
        <w:tab w:val="right" w:pos="9072"/>
      </w:tabs>
    </w:pPr>
  </w:style>
  <w:style w:type="character" w:customStyle="1" w:styleId="HeaderChar">
    <w:name w:val="Header Char"/>
    <w:basedOn w:val="DefaultParagraphFont"/>
    <w:link w:val="Header"/>
    <w:uiPriority w:val="99"/>
    <w:rsid w:val="00A82509"/>
    <w:rPr>
      <w:lang w:val="en-GB"/>
    </w:rPr>
  </w:style>
  <w:style w:type="paragraph" w:styleId="Footer">
    <w:name w:val="footer"/>
    <w:basedOn w:val="Normal"/>
    <w:link w:val="FooterChar"/>
    <w:uiPriority w:val="99"/>
    <w:unhideWhenUsed/>
    <w:rsid w:val="00A82509"/>
    <w:pPr>
      <w:tabs>
        <w:tab w:val="center" w:pos="4536"/>
        <w:tab w:val="right" w:pos="9072"/>
      </w:tabs>
    </w:pPr>
  </w:style>
  <w:style w:type="character" w:customStyle="1" w:styleId="FooterChar">
    <w:name w:val="Footer Char"/>
    <w:basedOn w:val="DefaultParagraphFont"/>
    <w:link w:val="Footer"/>
    <w:uiPriority w:val="99"/>
    <w:rsid w:val="00A8250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FD15F-935B-4F38-8638-278BCBB7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1572</Words>
  <Characters>8648</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Beers</dc:creator>
  <cp:keywords/>
  <dc:description/>
  <cp:lastModifiedBy>Meulen, Sander van der</cp:lastModifiedBy>
  <cp:revision>5</cp:revision>
  <cp:lastPrinted>2020-07-27T12:32:00Z</cp:lastPrinted>
  <dcterms:created xsi:type="dcterms:W3CDTF">2023-04-05T07:27:00Z</dcterms:created>
  <dcterms:modified xsi:type="dcterms:W3CDTF">2023-04-05T12:11:00Z</dcterms:modified>
</cp:coreProperties>
</file>